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Title"/>
        <w:widowControl/>
        <w:tabs>
          <w:tab w:val="clear" w:pos="709"/>
          <w:tab w:val="left" w:pos="1620" w:leader="none"/>
        </w:tabs>
        <w:jc w:val="center"/>
        <w:rPr>
          <w:rFonts w:ascii="Times New Roman" w:hAnsi="Times New Roman"/>
          <w:sz w:val="24"/>
          <w:szCs w:val="24"/>
        </w:rPr>
      </w:pPr>
      <w:r>
        <w:rPr>
          <w:rFonts w:ascii="Times New Roman" w:hAnsi="Times New Roman"/>
          <w:sz w:val="24"/>
          <w:szCs w:val="24"/>
        </w:rPr>
        <w:t>Договор № ____</w:t>
      </w:r>
    </w:p>
    <w:p>
      <w:pPr>
        <w:pStyle w:val="ConsTitle"/>
        <w:widowControl/>
        <w:tabs>
          <w:tab w:val="clear" w:pos="709"/>
          <w:tab w:val="left" w:pos="1620" w:leader="none"/>
        </w:tabs>
        <w:jc w:val="center"/>
        <w:rPr>
          <w:rFonts w:ascii="Times New Roman" w:hAnsi="Times New Roman"/>
          <w:sz w:val="24"/>
          <w:szCs w:val="24"/>
        </w:rPr>
      </w:pPr>
      <w:r>
        <w:rPr>
          <w:rFonts w:ascii="Times New Roman" w:hAnsi="Times New Roman"/>
          <w:sz w:val="24"/>
          <w:szCs w:val="24"/>
        </w:rPr>
      </w:r>
    </w:p>
    <w:p>
      <w:pPr>
        <w:pStyle w:val="ConsTitle"/>
        <w:widowControl/>
        <w:tabs>
          <w:tab w:val="clear" w:pos="709"/>
          <w:tab w:val="left" w:pos="1620" w:leader="none"/>
        </w:tabs>
        <w:jc w:val="both"/>
        <w:rPr>
          <w:rFonts w:ascii="Times New Roman" w:hAnsi="Times New Roman"/>
          <w:sz w:val="24"/>
          <w:szCs w:val="24"/>
        </w:rPr>
      </w:pPr>
      <w:r>
        <w:rPr>
          <w:rFonts w:ascii="Times New Roman" w:hAnsi="Times New Roman"/>
          <w:sz w:val="24"/>
          <w:szCs w:val="24"/>
        </w:rPr>
      </w:r>
    </w:p>
    <w:p>
      <w:pPr>
        <w:pStyle w:val="ConsNonformat"/>
        <w:widowControl/>
        <w:jc w:val="both"/>
        <w:rPr>
          <w:rFonts w:ascii="Times New Roman" w:hAnsi="Times New Roman" w:cs="Times New Roman"/>
          <w:sz w:val="24"/>
          <w:szCs w:val="24"/>
        </w:rPr>
      </w:pPr>
      <w:r>
        <w:rPr>
          <w:rFonts w:cs="Times New Roman" w:ascii="Times New Roman" w:hAnsi="Times New Roman"/>
          <w:sz w:val="24"/>
          <w:szCs w:val="24"/>
        </w:rPr>
        <w:t xml:space="preserve">г. _______________                                                      </w:t>
        <w:tab/>
        <w:t xml:space="preserve">              «___» _________ 20___ г.</w:t>
      </w:r>
    </w:p>
    <w:p>
      <w:pPr>
        <w:pStyle w:val="ConsNonformat"/>
        <w:widowControl/>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8"/>
        <w:jc w:val="both"/>
        <w:rPr/>
      </w:pPr>
      <w:r>
        <w:rPr>
          <w:sz w:val="24"/>
          <w:szCs w:val="24"/>
        </w:rPr>
        <w:t>Негосударственное учреждение здравоохранения «Узловая поликлиника на станции О</w:t>
      </w:r>
      <w:r>
        <w:rPr>
          <w:rFonts w:eastAsia="Times New Roman"/>
          <w:sz w:val="24"/>
          <w:szCs w:val="24"/>
        </w:rPr>
        <w:t>жерелье</w:t>
      </w:r>
      <w:r>
        <w:rPr>
          <w:sz w:val="24"/>
          <w:szCs w:val="24"/>
        </w:rPr>
        <w:t xml:space="preserve"> открытого акционерного общества «Российские железные дороги», именуемое далее «Покупатель», в лице главного врача </w:t>
      </w:r>
      <w:r>
        <w:rPr>
          <w:rFonts w:eastAsia="Times New Roman"/>
          <w:sz w:val="24"/>
          <w:szCs w:val="24"/>
        </w:rPr>
        <w:t>Самарина Дмитрия Вячеславовича</w:t>
      </w:r>
      <w:r>
        <w:rPr>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pPr>
        <w:pStyle w:val="Standard"/>
        <w:ind w:firstLine="708"/>
        <w:jc w:val="both"/>
        <w:rPr/>
      </w:pPr>
      <w:r>
        <w:rPr/>
      </w:r>
    </w:p>
    <w:p>
      <w:pPr>
        <w:pStyle w:val="ConsNonformat"/>
        <w:widowControl/>
        <w:spacing w:lineRule="auto" w:line="360"/>
        <w:jc w:val="center"/>
        <w:rPr>
          <w:rFonts w:ascii="Times New Roman" w:hAnsi="Times New Roman" w:cs="Times New Roman"/>
          <w:b/>
          <w:b/>
          <w:sz w:val="24"/>
          <w:szCs w:val="24"/>
        </w:rPr>
      </w:pPr>
      <w:r>
        <w:rPr>
          <w:rFonts w:cs="Times New Roman" w:ascii="Times New Roman" w:hAnsi="Times New Roman"/>
          <w:b/>
          <w:sz w:val="24"/>
          <w:szCs w:val="24"/>
        </w:rPr>
        <w:t>1. Предмет Договора</w:t>
      </w:r>
    </w:p>
    <w:p>
      <w:pPr>
        <w:pStyle w:val="ListBullet3"/>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Договором срок медицинские изделия </w:t>
      </w:r>
      <w:r>
        <w:rPr>
          <w:i/>
          <w:sz w:val="24"/>
          <w:szCs w:val="24"/>
        </w:rPr>
        <w:t>(</w:t>
      </w:r>
      <w:r>
        <w:rPr>
          <w:sz w:val="24"/>
          <w:szCs w:val="24"/>
        </w:rPr>
        <w:t>далее</w:t>
      </w:r>
      <w:r>
        <w:rPr>
          <w:i/>
          <w:sz w:val="24"/>
          <w:szCs w:val="24"/>
        </w:rPr>
        <w:t xml:space="preserve"> – Товар)</w:t>
      </w:r>
      <w:r>
        <w:rPr>
          <w:sz w:val="24"/>
          <w:szCs w:val="24"/>
        </w:rPr>
        <w:t xml:space="preserve"> в соответствии с заявками Покупателя согласно Спецификации (Приложение №1), а Покупатель обязуется принять и оплатить Товар.</w:t>
      </w:r>
    </w:p>
    <w:p>
      <w:pPr>
        <w:pStyle w:val="Style24"/>
        <w:tabs>
          <w:tab w:val="left" w:pos="709" w:leader="none"/>
        </w:tabs>
        <w:spacing w:before="0" w:after="0"/>
        <w:jc w:val="both"/>
        <w:rPr/>
      </w:pPr>
      <w:r>
        <w:rPr/>
        <w:tab/>
        <w:t xml:space="preserve">1.2. Срок исполнения Поставщиком обязательств по поставке Товара: с даты заключения настоящего Договора до «___» __________ 2019 года. </w:t>
      </w:r>
      <w:r>
        <w:rPr>
          <w:bCs/>
        </w:rPr>
        <w:t xml:space="preserve">Наименование, количество, сроки и время поставки 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Pr/>
        <w:t>Окончательный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p>
    <w:p>
      <w:pPr>
        <w:pStyle w:val="Standard"/>
        <w:ind w:firstLine="709"/>
        <w:jc w:val="both"/>
        <w:rPr/>
      </w:pPr>
      <w:r>
        <w:rPr/>
        <w:t xml:space="preserve">1.3.Поставка Товара осуществляется на склад Покупателя. </w:t>
      </w:r>
    </w:p>
    <w:p>
      <w:pPr>
        <w:pStyle w:val="Standard"/>
        <w:ind w:firstLine="709"/>
        <w:jc w:val="both"/>
        <w:rPr/>
      </w:pPr>
      <w:r>
        <w:rPr/>
        <w:t xml:space="preserve">1.4. Время поставки: </w:t>
      </w:r>
      <w:r>
        <w:rPr>
          <w:i/>
        </w:rPr>
        <w:t xml:space="preserve"> </w:t>
      </w:r>
      <w:r>
        <w:rPr/>
        <w:t>согласовывается не менее чем за 48 часов до поставки.</w:t>
        <w:tab/>
      </w:r>
    </w:p>
    <w:p>
      <w:pPr>
        <w:pStyle w:val="Standard"/>
        <w:spacing w:lineRule="auto" w:line="360"/>
        <w:jc w:val="center"/>
        <w:rPr>
          <w:b/>
          <w:b/>
        </w:rPr>
      </w:pPr>
      <w:r>
        <w:rPr>
          <w:b/>
        </w:rPr>
        <w:t>2. Стоимость и порядок оплаты</w:t>
      </w:r>
    </w:p>
    <w:p>
      <w:pPr>
        <w:pStyle w:val="Normal"/>
        <w:ind w:firstLine="720"/>
        <w:jc w:val="both"/>
        <w:rPr>
          <w:sz w:val="24"/>
          <w:szCs w:val="24"/>
        </w:rPr>
      </w:pPr>
      <w:r>
        <w:rPr>
          <w:sz w:val="24"/>
          <w:szCs w:val="24"/>
        </w:rPr>
        <w:t xml:space="preserve">2.1. 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Pr>
          <w:i/>
          <w:sz w:val="24"/>
          <w:szCs w:val="24"/>
        </w:rPr>
        <w:t>или НДС не облагается на основании_____________________).</w:t>
      </w:r>
    </w:p>
    <w:p>
      <w:pPr>
        <w:pStyle w:val="Style24"/>
        <w:tabs>
          <w:tab w:val="left" w:pos="709" w:leader="none"/>
        </w:tabs>
        <w:spacing w:before="0" w:after="0"/>
        <w:jc w:val="both"/>
        <w:rPr/>
      </w:pPr>
      <w:r>
        <w:rPr/>
        <w:tab/>
        <w:t xml:space="preserve">2.2. Цена единицы  Товара, указанная в спецификации (Приложение №1), является фиксированной и изменению в течение всего срока действия настоящего договора не подлежит. </w:t>
      </w:r>
    </w:p>
    <w:p>
      <w:pPr>
        <w:pStyle w:val="Style24"/>
        <w:tabs>
          <w:tab w:val="left" w:pos="709" w:leader="none"/>
        </w:tabs>
        <w:spacing w:before="0" w:after="0"/>
        <w:jc w:val="both"/>
        <w:rPr>
          <w:b/>
          <w:b/>
        </w:rPr>
      </w:pPr>
      <w:r>
        <w:rPr/>
        <w:tab/>
        <w:t>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исполнения настоящего Договора.</w:t>
      </w:r>
    </w:p>
    <w:p>
      <w:pPr>
        <w:pStyle w:val="Normal"/>
        <w:ind w:firstLine="720"/>
        <w:jc w:val="both"/>
        <w:rPr>
          <w:sz w:val="24"/>
          <w:szCs w:val="24"/>
        </w:rPr>
      </w:pPr>
      <w:r>
        <w:rPr>
          <w:sz w:val="24"/>
          <w:szCs w:val="24"/>
        </w:rPr>
        <w:t>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60 (шестидесяти) дней после принятия Товара Покупателем и подписания Сторонами товарной накладной формы ТОРГ-12.</w:t>
      </w:r>
    </w:p>
    <w:p>
      <w:pPr>
        <w:pStyle w:val="Standard"/>
        <w:ind w:firstLine="709"/>
        <w:jc w:val="both"/>
        <w:rPr/>
      </w:pPr>
      <w:r>
        <w:rPr/>
        <w:t>Все расчеты по настоящему договору завершаются оформлением акта сверки взаимных расчетов сторон.</w:t>
      </w:r>
    </w:p>
    <w:p>
      <w:pPr>
        <w:pStyle w:val="Normal"/>
        <w:ind w:firstLine="720"/>
        <w:jc w:val="both"/>
        <w:rPr>
          <w:sz w:val="24"/>
          <w:szCs w:val="24"/>
        </w:rPr>
      </w:pPr>
      <w:r>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pPr>
        <w:pStyle w:val="ConsNormal1"/>
        <w:spacing w:lineRule="auto"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auto" w:line="360"/>
        <w:ind w:hanging="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Сторон</w:t>
      </w:r>
    </w:p>
    <w:p>
      <w:pPr>
        <w:pStyle w:val="ConsNormal1"/>
        <w:ind w:firstLine="709"/>
        <w:jc w:val="both"/>
        <w:rPr>
          <w:rFonts w:ascii="Times New Roman" w:hAnsi="Times New Roman" w:cs="Times New Roman"/>
          <w:bCs/>
          <w:sz w:val="24"/>
          <w:szCs w:val="24"/>
        </w:rPr>
      </w:pPr>
      <w:r>
        <w:rPr>
          <w:rFonts w:cs="Times New Roman" w:ascii="Times New Roman" w:hAnsi="Times New Roman"/>
          <w:bCs/>
          <w:sz w:val="24"/>
          <w:szCs w:val="24"/>
        </w:rPr>
        <w:t>3.1. Поставщик обязан:</w:t>
      </w:r>
    </w:p>
    <w:p>
      <w:pPr>
        <w:pStyle w:val="ConsNormal1"/>
        <w:ind w:firstLine="709"/>
        <w:jc w:val="both"/>
        <w:rPr>
          <w:rFonts w:ascii="Times New Roman" w:hAnsi="Times New Roman" w:cs="Times New Roman"/>
          <w:bCs/>
          <w:sz w:val="24"/>
          <w:szCs w:val="24"/>
        </w:rPr>
      </w:pPr>
      <w:r>
        <w:rPr>
          <w:rFonts w:cs="Times New Roman" w:ascii="Times New Roman" w:hAnsi="Times New Roman"/>
          <w:bCs/>
          <w:sz w:val="24"/>
          <w:szCs w:val="24"/>
        </w:rPr>
        <w:t>3.1.1. В течение срока, установленного в пункте 1.2 настоящего Договора,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7 (семи) календарных дней с даты направления заявки в адрес Поставщика, вне зависимости от наличия заявленных наименований Товара на складе Поставщика.</w:t>
      </w:r>
      <w:r>
        <w:rPr>
          <w:rFonts w:ascii="Times New Roman" w:hAnsi="Times New Roman"/>
          <w:bCs/>
          <w:sz w:val="24"/>
          <w:szCs w:val="24"/>
        </w:rPr>
        <w:t xml:space="preserve"> </w:t>
      </w:r>
    </w:p>
    <w:p>
      <w:pPr>
        <w:pStyle w:val="Standard"/>
        <w:shd w:val="clear" w:color="auto" w:fill="FFFFFF"/>
        <w:ind w:firstLine="709"/>
        <w:jc w:val="both"/>
        <w:rPr/>
      </w:pPr>
      <w:r>
        <w:rPr>
          <w:bCs/>
        </w:rPr>
        <w:t>3.1.2. П</w:t>
      </w:r>
      <w:r>
        <w:rPr/>
        <w:t>редоставлять на каждую серию Товара копию сертификата качества (сертификата соответствия) выданного в соответствии с нормативными документами.</w:t>
      </w:r>
    </w:p>
    <w:p>
      <w:pPr>
        <w:pStyle w:val="Standard"/>
        <w:shd w:val="clear" w:color="auto" w:fill="FFFFFF"/>
        <w:ind w:firstLine="709"/>
        <w:jc w:val="both"/>
        <w:rPr/>
      </w:pPr>
      <w:r>
        <w:rPr>
          <w:spacing w:val="-4"/>
        </w:rPr>
        <w:t xml:space="preserve">3.1.3. </w:t>
      </w:r>
      <w:r>
        <w:rPr>
          <w:spacing w:val="-3"/>
        </w:rPr>
        <w:t xml:space="preserve">При отгрузке </w:t>
      </w:r>
      <w:r>
        <w:rPr/>
        <w:t>Товара передать Покупателю подлинники следующих документов:</w:t>
      </w:r>
    </w:p>
    <w:p>
      <w:pPr>
        <w:pStyle w:val="Standard"/>
        <w:shd w:val="clear" w:color="auto" w:fill="FFFFFF"/>
        <w:ind w:firstLine="709"/>
        <w:jc w:val="both"/>
        <w:rPr/>
      </w:pPr>
      <w:r>
        <w:rPr/>
        <w:t xml:space="preserve">товарную накладную формы (ТОРГ-12); </w:t>
      </w:r>
    </w:p>
    <w:p>
      <w:pPr>
        <w:pStyle w:val="Standard"/>
        <w:shd w:val="clear" w:color="auto" w:fill="FFFFFF"/>
        <w:ind w:firstLine="709"/>
        <w:jc w:val="both"/>
        <w:rPr/>
      </w:pPr>
      <w:r>
        <w:rPr/>
        <w:t>счет – фактуру.</w:t>
      </w:r>
    </w:p>
    <w:p>
      <w:pPr>
        <w:pStyle w:val="Textbodyindent"/>
        <w:spacing w:before="0"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pPr>
        <w:pStyle w:val="Textbodyindent"/>
        <w:spacing w:before="0"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pPr>
        <w:pStyle w:val="Textbodyindent"/>
        <w:spacing w:before="0"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pPr>
        <w:pStyle w:val="ConsNormal1"/>
        <w:ind w:firstLine="709"/>
        <w:jc w:val="both"/>
        <w:rPr>
          <w:rFonts w:ascii="Times New Roman" w:hAnsi="Times New Roman" w:cs="Times New Roman"/>
          <w:bCs/>
          <w:sz w:val="24"/>
          <w:szCs w:val="24"/>
        </w:rPr>
      </w:pPr>
      <w:r>
        <w:rPr>
          <w:rFonts w:cs="Times New Roman" w:ascii="Times New Roman" w:hAnsi="Times New Roman"/>
          <w:bCs/>
          <w:sz w:val="24"/>
          <w:szCs w:val="24"/>
        </w:rPr>
        <w:t>3.2. Покупатель обязан:</w:t>
      </w:r>
    </w:p>
    <w:p>
      <w:pPr>
        <w:pStyle w:val="ConsNormal1"/>
        <w:ind w:firstLine="709"/>
        <w:jc w:val="both"/>
        <w:rPr>
          <w:rFonts w:ascii="Times New Roman" w:hAnsi="Times New Roman"/>
          <w:bCs/>
          <w:sz w:val="24"/>
          <w:szCs w:val="24"/>
        </w:rPr>
      </w:pPr>
      <w:r>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pPr>
        <w:pStyle w:val="ConsNormal1"/>
        <w:ind w:firstLine="709"/>
        <w:jc w:val="both"/>
        <w:rPr>
          <w:rFonts w:ascii="Times New Roman" w:hAnsi="Times New Roman" w:cs="Times New Roman"/>
          <w:bCs/>
          <w:sz w:val="24"/>
          <w:szCs w:val="24"/>
        </w:rPr>
      </w:pPr>
      <w:r>
        <w:rPr>
          <w:rFonts w:cs="Times New Roman" w:ascii="Times New Roman" w:hAnsi="Times New Roman"/>
          <w:bCs/>
          <w:sz w:val="24"/>
          <w:szCs w:val="24"/>
        </w:rPr>
        <w:t>3.2.2. Обеспечить проверку при приемке Товара по количеству качеству и комплектности.</w:t>
      </w:r>
    </w:p>
    <w:p>
      <w:pPr>
        <w:pStyle w:val="ConsNormal1"/>
        <w:ind w:firstLine="709"/>
        <w:jc w:val="both"/>
        <w:rPr>
          <w:rFonts w:ascii="Times New Roman" w:hAnsi="Times New Roman" w:cs="Times New Roman"/>
          <w:bCs/>
          <w:sz w:val="24"/>
          <w:szCs w:val="24"/>
        </w:rPr>
      </w:pPr>
      <w:r>
        <w:rPr>
          <w:rFonts w:cs="Times New Roman" w:ascii="Times New Roman" w:hAnsi="Times New Roman"/>
          <w:bCs/>
          <w:sz w:val="24"/>
          <w:szCs w:val="24"/>
        </w:rPr>
        <w:t>3.2.3. Принять и оплатить Товар в размерах и в сроки, установленные настоящим Договором.</w:t>
      </w:r>
    </w:p>
    <w:p>
      <w:pPr>
        <w:pStyle w:val="Standard"/>
        <w:ind w:firstLine="720"/>
        <w:jc w:val="both"/>
        <w:rPr/>
      </w:pPr>
      <w:r>
        <w:rPr/>
        <w:t>3.3. Покупатель вправе досрочно принять и оплатить поставленный Поставщиком Товар.</w:t>
      </w:r>
    </w:p>
    <w:p>
      <w:pPr>
        <w:pStyle w:val="Standard"/>
        <w:ind w:firstLine="720"/>
        <w:jc w:val="both"/>
        <w:rPr>
          <w:highlight w:val="white"/>
        </w:rPr>
      </w:pPr>
      <w:r>
        <w:rPr>
          <w:shd w:fill="FFFFFF" w:val="clear"/>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pPr>
        <w:pStyle w:val="ConsNormal1"/>
        <w:spacing w:lineRule="auto" w:line="360"/>
        <w:ind w:hanging="0"/>
        <w:jc w:val="center"/>
        <w:rPr>
          <w:rFonts w:ascii="Times New Roman" w:hAnsi="Times New Roman" w:cs="Times New Roman"/>
          <w:b/>
          <w:b/>
          <w:sz w:val="24"/>
          <w:szCs w:val="24"/>
        </w:rPr>
      </w:pPr>
      <w:r>
        <w:rPr>
          <w:rFonts w:cs="Times New Roman" w:ascii="Times New Roman" w:hAnsi="Times New Roman"/>
          <w:b/>
          <w:sz w:val="24"/>
          <w:szCs w:val="24"/>
        </w:rPr>
        <w:t>4. Условия поставки</w:t>
      </w:r>
    </w:p>
    <w:p>
      <w:pPr>
        <w:pStyle w:val="Standard"/>
        <w:ind w:firstLine="709"/>
        <w:jc w:val="both"/>
        <w:rPr>
          <w:spacing w:val="3"/>
        </w:rPr>
      </w:pPr>
      <w:r>
        <w:rP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pPr>
        <w:pStyle w:val="Standard"/>
        <w:spacing w:lineRule="exact" w:line="280"/>
        <w:ind w:firstLine="720"/>
        <w:jc w:val="both"/>
        <w:rPr/>
      </w:pPr>
      <w:r>
        <w:rPr/>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pPr>
        <w:pStyle w:val="Standard"/>
        <w:shd w:val="clear" w:color="auto" w:fill="FFFFFF"/>
        <w:spacing w:lineRule="exact" w:line="280"/>
        <w:ind w:firstLine="720"/>
        <w:jc w:val="both"/>
        <w:rPr>
          <w:spacing w:val="5"/>
        </w:rPr>
      </w:pPr>
      <w:r>
        <w:rPr>
          <w:spacing w:val="5"/>
        </w:rPr>
        <w:t>номер Договора;</w:t>
      </w:r>
    </w:p>
    <w:p>
      <w:pPr>
        <w:pStyle w:val="Standard"/>
        <w:shd w:val="clear" w:color="auto" w:fill="FFFFFF"/>
        <w:spacing w:lineRule="exact" w:line="280"/>
        <w:ind w:firstLine="720"/>
        <w:jc w:val="both"/>
        <w:rPr>
          <w:spacing w:val="5"/>
        </w:rPr>
      </w:pPr>
      <w:r>
        <w:rPr>
          <w:spacing w:val="5"/>
        </w:rPr>
        <w:t>номер товарной накладной формы (ТОРГ-12);</w:t>
      </w:r>
    </w:p>
    <w:p>
      <w:pPr>
        <w:pStyle w:val="Standard"/>
        <w:shd w:val="clear" w:color="auto" w:fill="FFFFFF"/>
        <w:spacing w:lineRule="exact" w:line="280"/>
        <w:ind w:firstLine="720"/>
        <w:jc w:val="both"/>
        <w:rPr>
          <w:spacing w:val="5"/>
        </w:rPr>
      </w:pPr>
      <w:r>
        <w:rPr>
          <w:spacing w:val="5"/>
        </w:rPr>
        <w:t>наименование Товара;</w:t>
      </w:r>
    </w:p>
    <w:p>
      <w:pPr>
        <w:pStyle w:val="Standard"/>
        <w:shd w:val="clear" w:color="auto" w:fill="FFFFFF"/>
        <w:spacing w:lineRule="exact" w:line="280"/>
        <w:ind w:firstLine="720"/>
        <w:jc w:val="both"/>
        <w:rPr>
          <w:spacing w:val="5"/>
        </w:rPr>
      </w:pPr>
      <w:r>
        <w:rPr>
          <w:spacing w:val="5"/>
        </w:rPr>
        <w:t>упаковочный лист;</w:t>
      </w:r>
    </w:p>
    <w:p>
      <w:pPr>
        <w:pStyle w:val="Standard"/>
        <w:shd w:val="clear" w:color="auto" w:fill="FFFFFF"/>
        <w:spacing w:lineRule="exact" w:line="280"/>
        <w:ind w:firstLine="720"/>
        <w:jc w:val="both"/>
        <w:rPr>
          <w:spacing w:val="5"/>
        </w:rPr>
      </w:pPr>
      <w:r>
        <w:rPr>
          <w:spacing w:val="5"/>
        </w:rPr>
        <w:t>дату отгрузки;</w:t>
      </w:r>
    </w:p>
    <w:p>
      <w:pPr>
        <w:pStyle w:val="Standard"/>
        <w:shd w:val="clear" w:color="auto" w:fill="FFFFFF"/>
        <w:spacing w:lineRule="exact" w:line="280"/>
        <w:ind w:firstLine="720"/>
        <w:jc w:val="both"/>
        <w:rPr>
          <w:spacing w:val="5"/>
        </w:rPr>
      </w:pPr>
      <w:r>
        <w:rPr>
          <w:spacing w:val="5"/>
        </w:rPr>
        <w:t>количество мест;</w:t>
      </w:r>
    </w:p>
    <w:p>
      <w:pPr>
        <w:pStyle w:val="Standard"/>
        <w:shd w:val="clear" w:color="auto" w:fill="FFFFFF"/>
        <w:spacing w:lineRule="exact" w:line="280"/>
        <w:ind w:firstLine="720"/>
        <w:jc w:val="both"/>
        <w:rPr>
          <w:spacing w:val="5"/>
        </w:rPr>
      </w:pPr>
      <w:r>
        <w:rPr>
          <w:spacing w:val="5"/>
        </w:rPr>
        <w:t>вес нетто и вес брутто.</w:t>
      </w:r>
    </w:p>
    <w:p>
      <w:pPr>
        <w:pStyle w:val="Standard"/>
        <w:ind w:firstLine="720"/>
        <w:jc w:val="both"/>
        <w:rPr/>
      </w:pPr>
      <w:r>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pPr>
        <w:pStyle w:val="ConsNormal1"/>
        <w:spacing w:lineRule="auto" w:line="360"/>
        <w:ind w:firstLine="360"/>
        <w:jc w:val="center"/>
        <w:rPr>
          <w:rFonts w:ascii="Times New Roman" w:hAnsi="Times New Roman" w:cs="Times New Roman"/>
          <w:sz w:val="24"/>
          <w:szCs w:val="24"/>
        </w:rPr>
      </w:pPr>
      <w:r>
        <w:rPr>
          <w:rFonts w:cs="Times New Roman" w:ascii="Times New Roman" w:hAnsi="Times New Roman"/>
          <w:sz w:val="24"/>
          <w:szCs w:val="24"/>
        </w:rPr>
      </w:r>
    </w:p>
    <w:p>
      <w:pPr>
        <w:pStyle w:val="ConsNormal1"/>
        <w:spacing w:lineRule="auto" w:line="360"/>
        <w:ind w:firstLine="360"/>
        <w:jc w:val="center"/>
        <w:rPr>
          <w:rFonts w:ascii="Times New Roman" w:hAnsi="Times New Roman" w:cs="Times New Roman"/>
          <w:b/>
          <w:b/>
          <w:sz w:val="24"/>
          <w:szCs w:val="24"/>
        </w:rPr>
      </w:pPr>
      <w:r>
        <w:rPr>
          <w:rFonts w:cs="Times New Roman" w:ascii="Times New Roman" w:hAnsi="Times New Roman"/>
          <w:b/>
          <w:sz w:val="24"/>
          <w:szCs w:val="24"/>
        </w:rPr>
        <w:t>5. Комплектность, качество и гарантии</w:t>
      </w:r>
    </w:p>
    <w:p>
      <w:pPr>
        <w:pStyle w:val="Style30"/>
        <w:jc w:val="both"/>
        <w:rPr>
          <w:sz w:val="24"/>
          <w:szCs w:val="24"/>
        </w:rPr>
      </w:pPr>
      <w:r>
        <w:rPr>
          <w:sz w:val="24"/>
          <w:szCs w:val="24"/>
        </w:rPr>
        <w:tab/>
        <w:t>5.1. Поставщик гарантирует, что:</w:t>
      </w:r>
    </w:p>
    <w:p>
      <w:pPr>
        <w:pStyle w:val="Textbodyindent"/>
        <w:spacing w:before="0"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pPr>
        <w:pStyle w:val="Style30"/>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pPr>
        <w:pStyle w:val="Style30"/>
        <w:jc w:val="both"/>
        <w:rPr>
          <w:sz w:val="24"/>
          <w:szCs w:val="24"/>
        </w:rPr>
      </w:pPr>
      <w:r>
        <w:rPr>
          <w:sz w:val="24"/>
          <w:szCs w:val="24"/>
        </w:rPr>
        <w:tab/>
        <w:t xml:space="preserve">5.2. Остаточный </w:t>
      </w:r>
      <w:r>
        <w:rPr>
          <w:bCs/>
          <w:sz w:val="24"/>
          <w:szCs w:val="24"/>
        </w:rPr>
        <w:t xml:space="preserve">срок годности Товара </w:t>
      </w:r>
      <w:r>
        <w:rPr>
          <w:sz w:val="24"/>
          <w:szCs w:val="24"/>
        </w:rPr>
        <w:t>на момент поставки</w:t>
      </w:r>
      <w:r>
        <w:rPr>
          <w:bCs/>
          <w:sz w:val="24"/>
          <w:szCs w:val="24"/>
        </w:rPr>
        <w:t xml:space="preserve"> должен быть не менее 70% от </w:t>
      </w:r>
      <w:r>
        <w:rPr>
          <w:sz w:val="24"/>
          <w:szCs w:val="24"/>
        </w:rPr>
        <w:t>установленного нормативными документами.  Поставка Товара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w:t>
        <w:tab/>
      </w:r>
    </w:p>
    <w:p>
      <w:pPr>
        <w:pStyle w:val="Style30"/>
        <w:ind w:firstLine="708"/>
        <w:jc w:val="both"/>
        <w:rPr>
          <w:sz w:val="24"/>
          <w:szCs w:val="24"/>
        </w:rPr>
      </w:pPr>
      <w:r>
        <w:rPr>
          <w:sz w:val="24"/>
          <w:szCs w:val="24"/>
        </w:rPr>
        <w:t>5.4. Качество Товара должно соответствовать ФС, ВФС, другим требованиям нормативной документации и при поставке сопровождаться необходимыми документами, удостоверяющими его качество и безопасность в соответствии с нормами действующего законодательства РФ.</w:t>
      </w:r>
    </w:p>
    <w:p>
      <w:pPr>
        <w:pStyle w:val="Style30"/>
        <w:ind w:firstLine="708"/>
        <w:jc w:val="both"/>
        <w:rPr>
          <w:sz w:val="24"/>
          <w:szCs w:val="24"/>
        </w:rPr>
      </w:pPr>
      <w:r>
        <w:rPr>
          <w:sz w:val="24"/>
          <w:szCs w:val="24"/>
        </w:rPr>
        <w:t xml:space="preserve">5.5. Товар не должен иметь нарушений целостности упаковки, деформаций, изъянов и прочих дефектов товарного вида. </w:t>
      </w:r>
    </w:p>
    <w:p>
      <w:pPr>
        <w:pStyle w:val="ConsNormal1"/>
        <w:tabs>
          <w:tab w:val="clear" w:pos="709"/>
          <w:tab w:val="left" w:pos="720" w:leader="none"/>
          <w:tab w:val="left" w:pos="1080" w:leader="none"/>
          <w:tab w:val="left" w:pos="1215" w:leader="none"/>
        </w:tabs>
        <w:ind w:hanging="0"/>
        <w:jc w:val="both"/>
        <w:rPr>
          <w:rFonts w:ascii="Times New Roman" w:hAnsi="Times New Roman"/>
          <w:sz w:val="24"/>
          <w:szCs w:val="24"/>
        </w:rPr>
      </w:pPr>
      <w:r>
        <w:rPr>
          <w:rFonts w:ascii="Times New Roman" w:hAnsi="Times New Roman"/>
          <w:sz w:val="24"/>
          <w:szCs w:val="24"/>
        </w:rPr>
        <w:tab/>
        <w:t>5.6.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p>
    <w:p>
      <w:pPr>
        <w:pStyle w:val="Standard"/>
        <w:jc w:val="both"/>
        <w:rPr/>
      </w:pPr>
      <w:r>
        <w:rPr/>
      </w:r>
    </w:p>
    <w:p>
      <w:pPr>
        <w:pStyle w:val="ConsNormal1"/>
        <w:spacing w:lineRule="auto" w:line="360"/>
        <w:ind w:hanging="0"/>
        <w:jc w:val="center"/>
        <w:rPr>
          <w:rFonts w:ascii="Times New Roman" w:hAnsi="Times New Roman" w:cs="Times New Roman"/>
          <w:b/>
          <w:b/>
          <w:sz w:val="24"/>
          <w:szCs w:val="24"/>
        </w:rPr>
      </w:pPr>
      <w:r>
        <w:rPr>
          <w:rFonts w:cs="Times New Roman" w:ascii="Times New Roman" w:hAnsi="Times New Roman"/>
          <w:b/>
          <w:sz w:val="24"/>
          <w:szCs w:val="24"/>
        </w:rPr>
        <w:t>6. Упаковка и маркировка</w:t>
      </w:r>
    </w:p>
    <w:p>
      <w:pPr>
        <w:pStyle w:val="Normal"/>
        <w:spacing w:lineRule="auto" w:line="228"/>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pPr>
        <w:pStyle w:val="ConsNormal1"/>
        <w:spacing w:lineRule="auto" w:line="360"/>
        <w:jc w:val="center"/>
        <w:rPr>
          <w:rFonts w:ascii="Times New Roman" w:hAnsi="Times New Roman" w:cs="Times New Roman"/>
          <w:b/>
          <w:b/>
          <w:sz w:val="24"/>
          <w:szCs w:val="24"/>
        </w:rPr>
      </w:pPr>
      <w:r>
        <w:rPr>
          <w:rFonts w:cs="Times New Roman" w:ascii="Times New Roman" w:hAnsi="Times New Roman"/>
          <w:b/>
          <w:sz w:val="24"/>
          <w:szCs w:val="24"/>
        </w:rPr>
        <w:t>7. Переход права собственности</w:t>
      </w:r>
    </w:p>
    <w:p>
      <w:pPr>
        <w:pStyle w:val="Normal"/>
        <w:spacing w:lineRule="auto" w:line="228"/>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формы ТОРГ-12.</w:t>
      </w:r>
    </w:p>
    <w:p>
      <w:pPr>
        <w:pStyle w:val="ConsNormal1"/>
        <w:spacing w:lineRule="auto" w:line="360"/>
        <w:ind w:hanging="0"/>
        <w:jc w:val="center"/>
        <w:rPr>
          <w:rFonts w:ascii="Times New Roman" w:hAnsi="Times New Roman" w:cs="Times New Roman"/>
          <w:b/>
          <w:b/>
          <w:sz w:val="24"/>
          <w:szCs w:val="24"/>
        </w:rPr>
      </w:pPr>
      <w:r>
        <w:rPr>
          <w:rFonts w:cs="Times New Roman" w:ascii="Times New Roman" w:hAnsi="Times New Roman"/>
          <w:b/>
          <w:sz w:val="24"/>
          <w:szCs w:val="24"/>
        </w:rPr>
        <w:t>8. Ответственность Сторон</w:t>
      </w:r>
    </w:p>
    <w:p>
      <w:pPr>
        <w:pStyle w:val="ConsNormal1"/>
        <w:jc w:val="both"/>
        <w:rPr>
          <w:rFonts w:ascii="Times New Roman" w:hAnsi="Times New Roman" w:cs="Times New Roman"/>
          <w:sz w:val="24"/>
          <w:szCs w:val="24"/>
        </w:rPr>
      </w:pPr>
      <w:r>
        <w:rPr>
          <w:rFonts w:cs="Times New Roman"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pPr>
        <w:pStyle w:val="Style30"/>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pPr>
        <w:pStyle w:val="Style30"/>
        <w:ind w:firstLine="709"/>
        <w:jc w:val="both"/>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pPr>
        <w:pStyle w:val="Style30"/>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pPr>
        <w:pStyle w:val="Style30"/>
        <w:ind w:firstLine="708"/>
        <w:jc w:val="both"/>
        <w:rPr>
          <w:sz w:val="24"/>
          <w:szCs w:val="24"/>
        </w:rPr>
      </w:pPr>
      <w:r>
        <w:rPr>
          <w:sz w:val="24"/>
          <w:szCs w:val="24"/>
        </w:rPr>
        <w:t>- возмещения Покупателю убытков, вызванных таким отказом;</w:t>
      </w:r>
    </w:p>
    <w:p>
      <w:pPr>
        <w:pStyle w:val="Style30"/>
        <w:ind w:firstLine="708"/>
        <w:jc w:val="both"/>
        <w:rPr>
          <w:sz w:val="24"/>
          <w:szCs w:val="24"/>
        </w:rPr>
      </w:pPr>
      <w:r>
        <w:rPr>
          <w:sz w:val="24"/>
          <w:szCs w:val="24"/>
        </w:rPr>
        <w:t>- возврата всех уплаченные Покупателем по настоящему Договору денежных сумм;</w:t>
      </w:r>
    </w:p>
    <w:p>
      <w:pPr>
        <w:pStyle w:val="Style30"/>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pPr>
        <w:pStyle w:val="Style30"/>
        <w:ind w:firstLine="708"/>
        <w:jc w:val="both"/>
        <w:rPr>
          <w:bCs/>
          <w:sz w:val="24"/>
          <w:szCs w:val="24"/>
        </w:rPr>
      </w:pPr>
      <w:r>
        <w:rPr>
          <w:sz w:val="24"/>
          <w:szCs w:val="24"/>
        </w:rPr>
        <w:t xml:space="preserve">8.5. </w:t>
      </w:r>
      <w:r>
        <w:rPr>
          <w:bCs/>
          <w:sz w:val="24"/>
          <w:szCs w:val="24"/>
        </w:rPr>
        <w:t xml:space="preserve">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Pr>
          <w:sz w:val="24"/>
          <w:szCs w:val="24"/>
        </w:rPr>
        <w:t>Покупатель вправе требовать от Поставщика уплаты неустойки из расчета 0,02 % от стоимости некачественной либо сроковой партии Товара за каждый день просрочки.</w:t>
      </w:r>
    </w:p>
    <w:p>
      <w:pPr>
        <w:pStyle w:val="Normal"/>
        <w:tabs>
          <w:tab w:val="clear" w:pos="709"/>
          <w:tab w:val="left" w:pos="1080" w:leader="none"/>
          <w:tab w:val="left" w:pos="2835" w:leader="none"/>
        </w:tabs>
        <w:ind w:firstLine="709"/>
        <w:jc w:val="both"/>
        <w:rPr>
          <w:bCs/>
          <w:sz w:val="24"/>
          <w:szCs w:val="24"/>
        </w:rPr>
      </w:pPr>
      <w:r>
        <w:rPr>
          <w:bCs/>
          <w:sz w:val="24"/>
          <w:szCs w:val="24"/>
        </w:rPr>
        <w:t xml:space="preserve">8.6. В случае непредставления Поставщиком документов,  </w:t>
      </w:r>
      <w:r>
        <w:rPr>
          <w:sz w:val="24"/>
          <w:szCs w:val="24"/>
        </w:rPr>
        <w:t>удостоверяющих качество и безопасность</w:t>
      </w:r>
      <w:r>
        <w:rPr>
          <w:bCs/>
          <w:sz w:val="24"/>
          <w:szCs w:val="24"/>
        </w:rPr>
        <w:t xml:space="preserve"> Товара, Покупатель имеет право отказаться от исполнения  договора. </w:t>
      </w:r>
    </w:p>
    <w:p>
      <w:pPr>
        <w:pStyle w:val="Style30"/>
        <w:ind w:firstLine="708"/>
        <w:jc w:val="both"/>
        <w:rPr>
          <w:bCs/>
          <w:sz w:val="24"/>
          <w:szCs w:val="24"/>
        </w:rPr>
      </w:pPr>
      <w:r>
        <w:rPr>
          <w:bCs/>
          <w:sz w:val="24"/>
          <w:szCs w:val="24"/>
        </w:rPr>
        <w:t xml:space="preserve">8.7. В случае, когда относящиеся к </w:t>
      </w:r>
      <w:r>
        <w:rPr>
          <w:sz w:val="24"/>
          <w:szCs w:val="24"/>
        </w:rPr>
        <w:t>Товару</w:t>
      </w:r>
      <w:r>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Pr>
          <w:sz w:val="24"/>
          <w:szCs w:val="24"/>
        </w:rPr>
        <w:t>Товар</w:t>
      </w:r>
      <w:r>
        <w:rPr>
          <w:bCs/>
          <w:sz w:val="24"/>
          <w:szCs w:val="24"/>
        </w:rPr>
        <w:t xml:space="preserve"> из-за отсутствия этих документов, а также уплаты   </w:t>
      </w:r>
      <w:r>
        <w:rPr>
          <w:sz w:val="24"/>
          <w:szCs w:val="24"/>
        </w:rPr>
        <w:t>неустойки из расчета 0,02 % от стоимости</w:t>
      </w:r>
      <w:r>
        <w:rPr>
          <w:bCs/>
          <w:sz w:val="24"/>
          <w:szCs w:val="24"/>
        </w:rPr>
        <w:t xml:space="preserve"> партии Товара за каждый день просрочки передачи документов.</w:t>
      </w:r>
    </w:p>
    <w:p>
      <w:pPr>
        <w:pStyle w:val="Style30"/>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pPr>
        <w:pStyle w:val="Standard"/>
        <w:ind w:firstLine="708"/>
        <w:jc w:val="both"/>
        <w:rPr/>
      </w:pPr>
      <w:r>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pPr>
        <w:pStyle w:val="ConsNormal1"/>
        <w:ind w:firstLine="709"/>
        <w:jc w:val="both"/>
        <w:rPr>
          <w:rFonts w:ascii="Times New Roman" w:hAnsi="Times New Roman"/>
          <w:iCs/>
          <w:sz w:val="24"/>
          <w:szCs w:val="24"/>
        </w:rPr>
      </w:pPr>
      <w:r>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pPr>
        <w:pStyle w:val="ConsNormal1"/>
        <w:ind w:firstLine="709"/>
        <w:jc w:val="both"/>
        <w:rPr>
          <w:rFonts w:ascii="Times New Roman" w:hAnsi="Times New Roman"/>
          <w:iCs/>
          <w:sz w:val="24"/>
          <w:szCs w:val="24"/>
        </w:rPr>
      </w:pPr>
      <w:r>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pPr>
        <w:pStyle w:val="Style30"/>
        <w:ind w:firstLine="708"/>
        <w:jc w:val="both"/>
        <w:rPr>
          <w:iCs/>
          <w:sz w:val="24"/>
          <w:szCs w:val="24"/>
        </w:rPr>
      </w:pPr>
      <w:r>
        <w:rPr>
          <w:iCs/>
          <w:sz w:val="24"/>
          <w:szCs w:val="24"/>
        </w:rPr>
      </w:r>
    </w:p>
    <w:p>
      <w:pPr>
        <w:pStyle w:val="ConsNormal1"/>
        <w:spacing w:lineRule="auto" w:line="360"/>
        <w:ind w:hanging="0"/>
        <w:jc w:val="center"/>
        <w:rPr>
          <w:rFonts w:ascii="Times New Roman" w:hAnsi="Times New Roman" w:cs="Times New Roman"/>
          <w:b/>
          <w:b/>
          <w:sz w:val="24"/>
          <w:szCs w:val="24"/>
        </w:rPr>
      </w:pPr>
      <w:r>
        <w:rPr>
          <w:rFonts w:cs="Times New Roman" w:ascii="Times New Roman" w:hAnsi="Times New Roman"/>
          <w:b/>
          <w:sz w:val="24"/>
          <w:szCs w:val="24"/>
        </w:rPr>
        <w:t>9. Обстоятельства непреодолимой силы</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pPr>
        <w:pStyle w:val="ConsNormal1"/>
        <w:spacing w:lineRule="auto" w:line="360"/>
        <w:ind w:hanging="0"/>
        <w:jc w:val="both"/>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auto" w:line="360"/>
        <w:ind w:hanging="0"/>
        <w:jc w:val="center"/>
        <w:rPr>
          <w:rFonts w:ascii="Times New Roman" w:hAnsi="Times New Roman" w:cs="Times New Roman"/>
          <w:b/>
          <w:b/>
          <w:sz w:val="24"/>
          <w:szCs w:val="24"/>
        </w:rPr>
      </w:pPr>
      <w:r>
        <w:rPr>
          <w:rFonts w:cs="Times New Roman" w:ascii="Times New Roman" w:hAnsi="Times New Roman"/>
          <w:b/>
          <w:sz w:val="24"/>
          <w:szCs w:val="24"/>
        </w:rPr>
        <w:t>10. Разрешение споров</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pPr>
        <w:pStyle w:val="ConsNormal1"/>
        <w:ind w:firstLine="709"/>
        <w:jc w:val="both"/>
        <w:rPr>
          <w:rFonts w:ascii="Times New Roman" w:hAnsi="Times New Roman" w:cs="Times New Roman"/>
          <w:i/>
          <w:i/>
          <w:sz w:val="24"/>
          <w:szCs w:val="24"/>
        </w:rPr>
      </w:pPr>
      <w:r>
        <w:rPr>
          <w:rFonts w:cs="Times New Roman"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cs="Times New Roman" w:ascii="Times New Roman" w:hAnsi="Times New Roman"/>
          <w:i/>
          <w:sz w:val="24"/>
          <w:szCs w:val="24"/>
        </w:rPr>
        <w:t xml:space="preserve">        </w:t>
      </w:r>
    </w:p>
    <w:p>
      <w:pPr>
        <w:pStyle w:val="ConsNormal1"/>
        <w:ind w:hanging="0"/>
        <w:jc w:val="both"/>
        <w:rPr>
          <w:rFonts w:ascii="Times New Roman" w:hAnsi="Times New Roman" w:cs="Times New Roman"/>
          <w:b/>
          <w:b/>
          <w:sz w:val="24"/>
          <w:szCs w:val="24"/>
        </w:rPr>
      </w:pPr>
      <w:r>
        <w:rPr>
          <w:rFonts w:cs="Times New Roman" w:ascii="Times New Roman" w:hAnsi="Times New Roman"/>
          <w:b/>
          <w:sz w:val="24"/>
          <w:szCs w:val="24"/>
        </w:rPr>
      </w:r>
    </w:p>
    <w:p>
      <w:pPr>
        <w:pStyle w:val="ConsNormal1"/>
        <w:ind w:hanging="0"/>
        <w:jc w:val="center"/>
        <w:rPr>
          <w:rFonts w:ascii="Times New Roman" w:hAnsi="Times New Roman" w:cs="Times New Roman"/>
          <w:b/>
          <w:b/>
          <w:sz w:val="24"/>
          <w:szCs w:val="24"/>
        </w:rPr>
      </w:pPr>
      <w:r>
        <w:rPr>
          <w:rFonts w:cs="Times New Roman" w:ascii="Times New Roman" w:hAnsi="Times New Roman"/>
          <w:b/>
          <w:sz w:val="24"/>
          <w:szCs w:val="24"/>
        </w:rPr>
        <w:t>11. Порядок внесения изменений, дополнений в Договор</w:t>
      </w:r>
    </w:p>
    <w:p>
      <w:pPr>
        <w:pStyle w:val="ConsNormal1"/>
        <w:ind w:hanging="0"/>
        <w:jc w:val="center"/>
        <w:rPr>
          <w:rFonts w:ascii="Times New Roman" w:hAnsi="Times New Roman" w:cs="Times New Roman"/>
          <w:b/>
          <w:b/>
          <w:sz w:val="24"/>
          <w:szCs w:val="24"/>
        </w:rPr>
      </w:pPr>
      <w:r>
        <w:rPr>
          <w:rFonts w:cs="Times New Roman" w:ascii="Times New Roman" w:hAnsi="Times New Roman"/>
          <w:b/>
          <w:sz w:val="24"/>
          <w:szCs w:val="24"/>
        </w:rPr>
        <w:t>и его расторжения</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pPr>
        <w:pStyle w:val="ConsNormal1"/>
        <w:spacing w:lineRule="exact" w:line="280"/>
        <w:ind w:firstLine="709"/>
        <w:jc w:val="both"/>
        <w:rPr>
          <w:rFonts w:ascii="Times New Roman" w:hAnsi="Times New Roman" w:cs="Times New Roman"/>
          <w:sz w:val="24"/>
          <w:szCs w:val="24"/>
        </w:rPr>
      </w:pPr>
      <w:r>
        <w:rPr>
          <w:rFonts w:cs="Times New Roman"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pPr>
        <w:pStyle w:val="ConsNormal1"/>
        <w:widowControl w:val="false"/>
        <w:numPr>
          <w:ilvl w:val="1"/>
          <w:numId w:val="1"/>
        </w:numPr>
        <w:suppressAutoHyphens w:val="true"/>
        <w:snapToGrid w:val="true"/>
        <w:ind w:firstLine="709"/>
        <w:jc w:val="both"/>
        <w:textAlignment w:val="baseline"/>
        <w:rPr>
          <w:rFonts w:ascii="Times New Roman" w:hAnsi="Times New Roman" w:cs="Times New Roman"/>
          <w:sz w:val="24"/>
          <w:szCs w:val="24"/>
        </w:rPr>
      </w:pPr>
      <w:r>
        <w:rPr>
          <w:rFonts w:cs="Times New Roman"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pPr>
        <w:pStyle w:val="Standard"/>
        <w:spacing w:lineRule="auto" w:line="276"/>
        <w:jc w:val="center"/>
        <w:rPr>
          <w:b/>
          <w:b/>
        </w:rPr>
      </w:pPr>
      <w:r>
        <w:rPr>
          <w:b/>
        </w:rPr>
        <w:t>12. Антикоррупционная оговорка</w:t>
      </w:r>
    </w:p>
    <w:p>
      <w:pPr>
        <w:pStyle w:val="Standard"/>
        <w:spacing w:lineRule="auto" w:line="276"/>
        <w:jc w:val="both"/>
        <w:rPr/>
      </w:pPr>
      <w:r>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pPr>
        <w:pStyle w:val="Standard"/>
        <w:spacing w:lineRule="auto" w:line="276"/>
        <w:jc w:val="both"/>
        <w:rPr/>
      </w:pPr>
      <w:r>
        <w:rP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pPr>
        <w:pStyle w:val="Standard"/>
        <w:spacing w:lineRule="auto" w:line="276"/>
        <w:jc w:val="both"/>
        <w:rPr/>
      </w:pPr>
      <w:r>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0" w:name="OLE_LINK4"/>
      <w:bookmarkStart w:id="1" w:name="OLE_LINK3"/>
      <w:r>
        <w:rPr/>
        <w:t xml:space="preserve">12.1, 12.2 </w:t>
      </w:r>
      <w:bookmarkEnd w:id="0"/>
      <w:bookmarkEnd w:id="1"/>
      <w:r>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pPr>
        <w:pStyle w:val="Standard"/>
        <w:spacing w:lineRule="auto" w:line="276"/>
        <w:jc w:val="both"/>
        <w:rPr>
          <w:highlight w:val="white"/>
        </w:rPr>
      </w:pPr>
      <w:r>
        <w:rPr/>
        <w:tab/>
      </w:r>
      <w:r>
        <w:rPr>
          <w:shd w:fill="FFFFFF" w:val="clear"/>
        </w:rPr>
        <w:t xml:space="preserve">12.3.1.Каналы уведомления Покупателя о нарушениях каких-либо положений пунктов 12.1, 12.2 настоящего Договора: </w:t>
      </w:r>
    </w:p>
    <w:p>
      <w:pPr>
        <w:pStyle w:val="Normal"/>
        <w:rPr>
          <w:sz w:val="24"/>
          <w:szCs w:val="24"/>
        </w:rPr>
      </w:pPr>
      <w:r>
        <w:rPr>
          <w:shd w:fill="FFFFFF" w:val="clear"/>
        </w:rPr>
        <w:t xml:space="preserve">- </w:t>
      </w:r>
      <w:r>
        <w:rPr>
          <w:sz w:val="24"/>
          <w:szCs w:val="24"/>
        </w:rPr>
        <w:t xml:space="preserve"> (496) 412-36-83;</w:t>
      </w:r>
    </w:p>
    <w:p>
      <w:pPr>
        <w:pStyle w:val="Standard"/>
        <w:spacing w:lineRule="auto" w:line="276"/>
        <w:jc w:val="both"/>
        <w:rPr>
          <w:highlight w:val="white"/>
        </w:rPr>
      </w:pPr>
      <w:r>
        <w:rPr>
          <w:shd w:fill="FFFFFF" w:val="clear"/>
        </w:rPr>
        <w:t>- электронная почта: ozmpgd@yandex;</w:t>
      </w:r>
    </w:p>
    <w:p>
      <w:pPr>
        <w:pStyle w:val="Standard"/>
        <w:spacing w:lineRule="auto" w:line="276"/>
        <w:ind w:firstLine="708"/>
        <w:jc w:val="both"/>
        <w:rPr>
          <w:highlight w:val="white"/>
        </w:rPr>
      </w:pPr>
      <w:r>
        <w:rPr>
          <w:shd w:fill="FFFFFF" w:val="clear"/>
        </w:rPr>
        <w:t xml:space="preserve">12.3.2.Каналы уведомления Поставщика о нарушениях каких-либо положений пунктов 12.1, 12.2 настоящего Договора: </w:t>
      </w:r>
    </w:p>
    <w:p>
      <w:pPr>
        <w:pStyle w:val="Normal"/>
        <w:rPr>
          <w:sz w:val="24"/>
          <w:szCs w:val="24"/>
        </w:rPr>
      </w:pPr>
      <w:r>
        <w:rPr>
          <w:shd w:fill="FFFFFF" w:val="clear"/>
        </w:rPr>
        <w:t xml:space="preserve">- </w:t>
      </w:r>
      <w:r>
        <w:rPr>
          <w:sz w:val="24"/>
          <w:szCs w:val="24"/>
        </w:rPr>
        <w:t>факс ___________________;</w:t>
      </w:r>
    </w:p>
    <w:p>
      <w:pPr>
        <w:pStyle w:val="Standard"/>
        <w:spacing w:lineRule="auto" w:line="276"/>
        <w:jc w:val="both"/>
        <w:rPr>
          <w:highlight w:val="white"/>
        </w:rPr>
      </w:pPr>
      <w:r>
        <w:rPr>
          <w:shd w:fill="FFFFFF" w:val="clear"/>
        </w:rPr>
        <w:t>- электронная почта: _____________________ .</w:t>
      </w:r>
    </w:p>
    <w:p>
      <w:pPr>
        <w:pStyle w:val="Standard"/>
        <w:spacing w:lineRule="auto" w:line="276"/>
        <w:ind w:firstLine="709"/>
        <w:jc w:val="both"/>
        <w:rPr/>
      </w:pPr>
      <w:r>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pPr>
        <w:pStyle w:val="Standard"/>
        <w:spacing w:lineRule="auto" w:line="276"/>
        <w:jc w:val="both"/>
        <w:rPr/>
      </w:pPr>
      <w:r>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pPr>
        <w:pStyle w:val="Standard"/>
        <w:spacing w:lineRule="auto" w:line="276"/>
        <w:jc w:val="both"/>
        <w:rPr/>
      </w:pPr>
      <w:r>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pPr>
        <w:pStyle w:val="Standard"/>
        <w:numPr>
          <w:ilvl w:val="1"/>
          <w:numId w:val="2"/>
        </w:numPr>
        <w:spacing w:lineRule="auto" w:line="276"/>
        <w:ind w:firstLine="709"/>
        <w:jc w:val="both"/>
        <w:rPr/>
      </w:pPr>
      <w:bookmarkStart w:id="2" w:name="OLE_LINK13"/>
      <w:bookmarkStart w:id="3" w:name="OLE_LINK12"/>
      <w:bookmarkStart w:id="4" w:name="OLE_LINK1"/>
      <w:bookmarkStart w:id="5" w:name="OLE_LINK5"/>
      <w:r>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
    <w:p>
      <w:pPr>
        <w:pStyle w:val="Standard"/>
        <w:spacing w:lineRule="auto" w:line="276"/>
        <w:jc w:val="center"/>
        <w:rPr>
          <w:b/>
          <w:b/>
        </w:rPr>
      </w:pPr>
      <w:r>
        <w:rPr>
          <w:b/>
        </w:rPr>
      </w:r>
    </w:p>
    <w:p>
      <w:pPr>
        <w:pStyle w:val="Standard"/>
        <w:spacing w:lineRule="auto" w:line="276"/>
        <w:jc w:val="center"/>
        <w:rPr>
          <w:b/>
          <w:b/>
        </w:rPr>
      </w:pPr>
      <w:r>
        <w:rPr>
          <w:b/>
        </w:rPr>
      </w:r>
    </w:p>
    <w:p>
      <w:pPr>
        <w:pStyle w:val="Standard"/>
        <w:spacing w:lineRule="auto" w:line="276"/>
        <w:jc w:val="center"/>
        <w:rPr>
          <w:b/>
          <w:b/>
        </w:rPr>
      </w:pPr>
      <w:r>
        <w:rPr>
          <w:b/>
        </w:rPr>
        <w:t>13. Налоговая оговорка</w:t>
      </w:r>
    </w:p>
    <w:p>
      <w:pPr>
        <w:pStyle w:val="11"/>
        <w:shd w:val="clear" w:color="auto" w:fill="auto"/>
        <w:spacing w:lineRule="exact" w:line="341" w:before="0" w:after="0"/>
        <w:ind w:right="40" w:firstLine="709"/>
        <w:jc w:val="both"/>
        <w:rPr>
          <w:sz w:val="24"/>
          <w:szCs w:val="24"/>
        </w:rPr>
      </w:pPr>
      <w:r>
        <w:rPr>
          <w:sz w:val="24"/>
          <w:szCs w:val="24"/>
        </w:rPr>
        <w:t>13.1 Поставщик гарантирует, что:</w:t>
      </w:r>
    </w:p>
    <w:p>
      <w:pPr>
        <w:pStyle w:val="11"/>
        <w:shd w:val="clear" w:color="auto" w:fill="auto"/>
        <w:spacing w:lineRule="exact" w:line="341" w:before="0" w:after="0"/>
        <w:ind w:firstLine="709"/>
        <w:jc w:val="both"/>
        <w:rPr>
          <w:sz w:val="24"/>
          <w:szCs w:val="24"/>
        </w:rPr>
      </w:pPr>
      <w:r>
        <w:rPr>
          <w:sz w:val="24"/>
          <w:szCs w:val="24"/>
        </w:rPr>
        <w:t>зарегистрирован в ЕГРЮЛ надлежащим образом;</w:t>
      </w:r>
    </w:p>
    <w:p>
      <w:pPr>
        <w:pStyle w:val="11"/>
        <w:shd w:val="clear" w:color="auto" w:fill="auto"/>
        <w:spacing w:lineRule="exact" w:line="341" w:before="0" w:after="0"/>
        <w:ind w:right="40" w:firstLine="709"/>
        <w:jc w:val="both"/>
        <w:rPr>
          <w:sz w:val="24"/>
          <w:szCs w:val="24"/>
        </w:rPr>
      </w:pPr>
      <w:r>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pPr>
        <w:pStyle w:val="11"/>
        <w:shd w:val="clear" w:color="auto" w:fill="auto"/>
        <w:spacing w:lineRule="exact" w:line="341" w:before="0" w:after="0"/>
        <w:ind w:right="40" w:firstLine="709"/>
        <w:jc w:val="both"/>
        <w:rPr>
          <w:sz w:val="24"/>
          <w:szCs w:val="24"/>
        </w:rPr>
      </w:pPr>
      <w:r>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pPr>
        <w:pStyle w:val="11"/>
        <w:shd w:val="clear" w:color="auto" w:fill="auto"/>
        <w:spacing w:lineRule="exact" w:line="341" w:before="0" w:after="0"/>
        <w:ind w:right="40" w:firstLine="709"/>
        <w:jc w:val="both"/>
        <w:rPr>
          <w:sz w:val="24"/>
          <w:szCs w:val="24"/>
        </w:rPr>
      </w:pPr>
      <w:r>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pPr>
        <w:pStyle w:val="11"/>
        <w:shd w:val="clear" w:color="auto" w:fill="auto"/>
        <w:spacing w:lineRule="exact" w:line="341" w:before="0" w:after="0"/>
        <w:ind w:right="40" w:firstLine="709"/>
        <w:jc w:val="both"/>
        <w:rPr>
          <w:sz w:val="24"/>
          <w:szCs w:val="24"/>
        </w:rPr>
      </w:pPr>
      <w:r>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pPr>
        <w:pStyle w:val="11"/>
        <w:shd w:val="clear" w:color="auto" w:fill="auto"/>
        <w:spacing w:lineRule="exact" w:line="341" w:before="0" w:after="0"/>
        <w:ind w:right="40" w:firstLine="709"/>
        <w:jc w:val="both"/>
        <w:rPr>
          <w:sz w:val="24"/>
          <w:szCs w:val="24"/>
        </w:rPr>
      </w:pPr>
      <w:r>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pPr>
        <w:pStyle w:val="11"/>
        <w:shd w:val="clear" w:color="auto" w:fill="auto"/>
        <w:spacing w:lineRule="exact" w:line="341" w:before="0" w:after="0"/>
        <w:ind w:right="40" w:firstLine="709"/>
        <w:jc w:val="both"/>
        <w:rPr>
          <w:sz w:val="24"/>
          <w:szCs w:val="24"/>
        </w:rPr>
      </w:pPr>
      <w:r>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pPr>
        <w:pStyle w:val="11"/>
        <w:shd w:val="clear" w:color="auto" w:fill="auto"/>
        <w:spacing w:lineRule="exact" w:line="341" w:before="0" w:after="0"/>
        <w:ind w:right="40" w:firstLine="709"/>
        <w:jc w:val="both"/>
        <w:rPr>
          <w:sz w:val="24"/>
          <w:szCs w:val="24"/>
        </w:rPr>
      </w:pPr>
      <w:r>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pPr>
        <w:pStyle w:val="11"/>
        <w:shd w:val="clear" w:color="auto" w:fill="auto"/>
        <w:spacing w:lineRule="exact" w:line="341" w:before="0" w:after="0"/>
        <w:ind w:right="60" w:firstLine="709"/>
        <w:jc w:val="both"/>
        <w:rPr>
          <w:sz w:val="24"/>
          <w:szCs w:val="24"/>
        </w:rPr>
      </w:pPr>
      <w:r>
        <w:rPr>
          <w:sz w:val="24"/>
          <w:szCs w:val="24"/>
        </w:rPr>
        <w:t>своевременно и в полном объеме уплачивает налоги, сборы и страховые взносы;</w:t>
      </w:r>
    </w:p>
    <w:p>
      <w:pPr>
        <w:pStyle w:val="11"/>
        <w:shd w:val="clear" w:color="auto" w:fill="auto"/>
        <w:spacing w:lineRule="exact" w:line="341" w:before="0" w:after="0"/>
        <w:ind w:right="60" w:firstLine="709"/>
        <w:jc w:val="both"/>
        <w:rPr>
          <w:sz w:val="24"/>
          <w:szCs w:val="24"/>
        </w:rPr>
      </w:pPr>
      <w:r>
        <w:rPr>
          <w:sz w:val="24"/>
          <w:szCs w:val="24"/>
        </w:rPr>
        <w:t>отражает в налоговой отчетности по НДС все суммы НДС, предъявленные (Покупателю) -</w:t>
      </w:r>
      <w:r>
        <w:rPr>
          <w:rStyle w:val="Style22"/>
          <w:sz w:val="24"/>
          <w:szCs w:val="24"/>
        </w:rPr>
        <w:t xml:space="preserve"> </w:t>
      </w:r>
      <w:r>
        <w:rPr>
          <w:rStyle w:val="Style22"/>
          <w:sz w:val="24"/>
          <w:szCs w:val="24"/>
          <w:highlight w:val="yellow"/>
        </w:rPr>
        <w:t>данный абзац исключается в случае освобождения от уплаты НДС при заключении договора;</w:t>
      </w:r>
    </w:p>
    <w:p>
      <w:pPr>
        <w:pStyle w:val="11"/>
        <w:shd w:val="clear" w:color="auto" w:fill="auto"/>
        <w:spacing w:lineRule="exact" w:line="341" w:before="0" w:after="0"/>
        <w:ind w:right="60" w:firstLine="709"/>
        <w:jc w:val="both"/>
        <w:rPr>
          <w:sz w:val="24"/>
          <w:szCs w:val="24"/>
        </w:rPr>
      </w:pPr>
      <w:r>
        <w:rPr>
          <w:sz w:val="24"/>
          <w:szCs w:val="24"/>
        </w:rPr>
        <w:t>лица, подписывающие от его имени первичные документы и счета- фактуры, имеют на это все необходимые полномочия и доверенности.</w:t>
      </w:r>
    </w:p>
    <w:p>
      <w:pPr>
        <w:pStyle w:val="11"/>
        <w:shd w:val="clear" w:color="auto" w:fill="auto"/>
        <w:tabs>
          <w:tab w:val="clear" w:pos="709"/>
          <w:tab w:val="left" w:pos="0" w:leader="none"/>
          <w:tab w:val="left" w:pos="142" w:leader="none"/>
        </w:tabs>
        <w:spacing w:lineRule="exact" w:line="341" w:before="0" w:after="0"/>
        <w:ind w:right="60" w:firstLine="709"/>
        <w:jc w:val="both"/>
        <w:rPr>
          <w:sz w:val="24"/>
          <w:szCs w:val="24"/>
        </w:rPr>
      </w:pPr>
      <w:r>
        <w:rPr>
          <w:sz w:val="24"/>
          <w:szCs w:val="24"/>
        </w:rPr>
        <w:t>13.2 Если Поставщик нарушит гарантии (любую одну, несколько или все вместе), указанные в пункте 1 настоящего раздела, и это повлечет:</w:t>
      </w:r>
    </w:p>
    <w:p>
      <w:pPr>
        <w:pStyle w:val="11"/>
        <w:shd w:val="clear" w:color="auto" w:fill="auto"/>
        <w:spacing w:lineRule="exact" w:line="341" w:before="0" w:after="0"/>
        <w:ind w:right="60" w:firstLine="709"/>
        <w:jc w:val="both"/>
        <w:rPr>
          <w:sz w:val="24"/>
          <w:szCs w:val="24"/>
        </w:rPr>
      </w:pPr>
      <w:r>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pPr>
        <w:pStyle w:val="11"/>
        <w:shd w:val="clear" w:color="auto" w:fill="auto"/>
        <w:spacing w:lineRule="exact" w:line="341" w:before="0" w:after="0"/>
        <w:ind w:right="60" w:firstLine="709"/>
        <w:jc w:val="both"/>
        <w:rPr>
          <w:sz w:val="24"/>
          <w:szCs w:val="24"/>
        </w:rPr>
      </w:pPr>
      <w:r>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pPr>
        <w:pStyle w:val="Standard"/>
        <w:spacing w:lineRule="auto" w:line="276"/>
        <w:ind w:firstLine="709"/>
        <w:jc w:val="both"/>
        <w:rPr>
          <w:b/>
          <w:b/>
        </w:rPr>
      </w:pPr>
      <w:r>
        <w:rPr/>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pPr>
        <w:pStyle w:val="Standard"/>
        <w:spacing w:lineRule="auto" w:line="276"/>
        <w:jc w:val="center"/>
        <w:rPr>
          <w:b/>
          <w:b/>
        </w:rPr>
      </w:pPr>
      <w:r>
        <w:rPr>
          <w:b/>
        </w:rPr>
      </w:r>
    </w:p>
    <w:p>
      <w:pPr>
        <w:pStyle w:val="Standard"/>
        <w:spacing w:lineRule="auto" w:line="276"/>
        <w:jc w:val="center"/>
        <w:rPr>
          <w:b/>
          <w:b/>
        </w:rPr>
      </w:pPr>
      <w:r>
        <w:rPr>
          <w:b/>
        </w:rPr>
        <w:t>14. Срок действия Договора</w:t>
      </w:r>
    </w:p>
    <w:p>
      <w:pPr>
        <w:pStyle w:val="Standard"/>
        <w:spacing w:lineRule="auto" w:line="276"/>
        <w:jc w:val="both"/>
        <w:rPr/>
      </w:pPr>
      <w:r>
        <w:rPr/>
        <w:t xml:space="preserve">             </w:t>
      </w:r>
      <w:r>
        <w:rPr/>
        <w:t>14.1 Настоящий Договор вступает в силу с момента его заключения  и действует по «    »                    20   года, в части финансовых расчетов - до полного исполнения Сторонами своих обязательств по настоящему Договору.</w:t>
      </w:r>
    </w:p>
    <w:p>
      <w:pPr>
        <w:pStyle w:val="ConsNormal1"/>
        <w:spacing w:lineRule="auto"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auto" w:line="360"/>
        <w:ind w:hanging="0"/>
        <w:jc w:val="center"/>
        <w:rPr>
          <w:rFonts w:ascii="Times New Roman" w:hAnsi="Times New Roman" w:cs="Times New Roman"/>
          <w:b/>
          <w:b/>
          <w:sz w:val="24"/>
          <w:szCs w:val="24"/>
        </w:rPr>
      </w:pPr>
      <w:r>
        <w:rPr>
          <w:rFonts w:cs="Times New Roman" w:ascii="Times New Roman" w:hAnsi="Times New Roman"/>
          <w:b/>
          <w:sz w:val="24"/>
          <w:szCs w:val="24"/>
        </w:rPr>
        <w:t>15. Прочие условия</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15.2.  Поставщик не вправе полностью или частично уступать свои права по настоящему Договору третьим лицам.</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pPr>
        <w:pStyle w:val="Standard"/>
        <w:ind w:firstLine="709"/>
        <w:jc w:val="both"/>
        <w:rPr>
          <w:highlight w:val="white"/>
        </w:rPr>
      </w:pPr>
      <w:r>
        <w:rPr>
          <w:shd w:fill="FFFFFF" w:val="clear"/>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15.5. Все приложения к настоящему Договору являются его неотъемлемыми частями.</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15.7. К настоящему Договору прилагаются:</w:t>
      </w:r>
    </w:p>
    <w:p>
      <w:pPr>
        <w:pStyle w:val="ConsNormal1"/>
        <w:ind w:firstLine="709"/>
        <w:jc w:val="both"/>
        <w:rPr>
          <w:rFonts w:ascii="Times New Roman" w:hAnsi="Times New Roman" w:cs="Times New Roman"/>
          <w:sz w:val="24"/>
          <w:szCs w:val="24"/>
        </w:rPr>
      </w:pPr>
      <w:r>
        <w:rPr>
          <w:rFonts w:cs="Times New Roman" w:ascii="Times New Roman" w:hAnsi="Times New Roman"/>
          <w:sz w:val="24"/>
          <w:szCs w:val="24"/>
        </w:rPr>
        <w:t>15.7.1 Спецификация (Приложение № 1).</w:t>
      </w:r>
    </w:p>
    <w:p>
      <w:pPr>
        <w:pStyle w:val="ConsNormal1"/>
        <w:ind w:firstLine="709"/>
        <w:jc w:val="both"/>
        <w:rPr>
          <w:rFonts w:ascii="Times New Roman" w:hAnsi="Times New Roman" w:cs="Times New Roman"/>
          <w:i/>
          <w:i/>
          <w:sz w:val="24"/>
          <w:szCs w:val="24"/>
        </w:rPr>
      </w:pPr>
      <w:r>
        <w:rPr>
          <w:rFonts w:cs="Times New Roman" w:ascii="Times New Roman" w:hAnsi="Times New Roman"/>
          <w:i/>
          <w:sz w:val="24"/>
          <w:szCs w:val="24"/>
        </w:rPr>
      </w:r>
    </w:p>
    <w:p>
      <w:pPr>
        <w:pStyle w:val="Textbody"/>
        <w:jc w:val="center"/>
        <w:rPr>
          <w:b/>
          <w:b/>
        </w:rPr>
      </w:pPr>
      <w:r>
        <w:rPr>
          <w:b/>
        </w:rPr>
        <w:t>16. Адреса и платёжные реквизиты Сторон</w:t>
      </w:r>
    </w:p>
    <w:p>
      <w:pPr>
        <w:pStyle w:val="Normal"/>
        <w:spacing w:lineRule="auto" w:line="228"/>
        <w:ind w:firstLine="709"/>
        <w:jc w:val="both"/>
        <w:rPr>
          <w:b/>
          <w:b/>
          <w:sz w:val="24"/>
          <w:szCs w:val="24"/>
        </w:rPr>
      </w:pPr>
      <w:r>
        <w:rPr>
          <w:b/>
          <w:sz w:val="24"/>
          <w:szCs w:val="24"/>
        </w:rPr>
      </w:r>
    </w:p>
    <w:tbl>
      <w:tblPr>
        <w:tblW w:w="9464" w:type="dxa"/>
        <w:jc w:val="left"/>
        <w:tblInd w:w="0" w:type="dxa"/>
        <w:tblCellMar>
          <w:top w:w="0" w:type="dxa"/>
          <w:left w:w="108" w:type="dxa"/>
          <w:bottom w:w="0" w:type="dxa"/>
          <w:right w:w="108" w:type="dxa"/>
        </w:tblCellMar>
        <w:tblLook w:firstRow="1" w:noVBand="0" w:lastRow="1" w:firstColumn="1" w:lastColumn="1" w:noHBand="0" w:val="01e0"/>
      </w:tblPr>
      <w:tblGrid>
        <w:gridCol w:w="5491"/>
        <w:gridCol w:w="3972"/>
      </w:tblGrid>
      <w:tr>
        <w:trPr/>
        <w:tc>
          <w:tcPr>
            <w:tcW w:w="5491" w:type="dxa"/>
            <w:tcBorders/>
            <w:shd w:fill="auto" w:val="clear"/>
          </w:tcPr>
          <w:p>
            <w:pPr>
              <w:pStyle w:val="NoSpacing"/>
              <w:widowControl w:val="false"/>
              <w:suppressAutoHyphens w:val="true"/>
              <w:spacing w:lineRule="auto" w:line="216" w:before="0" w:after="200"/>
              <w:jc w:val="both"/>
              <w:textAlignment w:val="baseline"/>
              <w:rPr>
                <w:rFonts w:ascii="Times New Roman" w:hAnsi="Times New Roman" w:cs="Times New Roman"/>
                <w:b/>
                <w:b/>
                <w:sz w:val="24"/>
                <w:szCs w:val="24"/>
                <w:lang w:val="ru-RU"/>
              </w:rPr>
            </w:pPr>
            <w:r>
              <w:rPr>
                <w:rFonts w:cs="Times New Roman" w:ascii="Times New Roman" w:hAnsi="Times New Roman"/>
                <w:b/>
                <w:sz w:val="24"/>
                <w:szCs w:val="24"/>
                <w:lang w:val="ru-RU"/>
              </w:rPr>
              <w:t>Покупатель:</w:t>
            </w:r>
          </w:p>
          <w:p>
            <w:pPr>
              <w:pStyle w:val="Normal"/>
              <w:rPr>
                <w:sz w:val="24"/>
                <w:szCs w:val="24"/>
              </w:rPr>
            </w:pPr>
            <w:r>
              <w:rPr>
                <w:sz w:val="24"/>
                <w:szCs w:val="24"/>
              </w:rPr>
              <w:t xml:space="preserve">НУЗ «Узловая поликлиника </w:t>
            </w:r>
          </w:p>
          <w:p>
            <w:pPr>
              <w:pStyle w:val="Normal"/>
              <w:rPr>
                <w:sz w:val="24"/>
                <w:szCs w:val="24"/>
              </w:rPr>
            </w:pPr>
            <w:r>
              <w:rPr>
                <w:sz w:val="24"/>
                <w:szCs w:val="24"/>
              </w:rPr>
              <w:t>на ст. Ожерелье ОАО «РЖД»</w:t>
            </w:r>
          </w:p>
          <w:p>
            <w:pPr>
              <w:pStyle w:val="Normal"/>
              <w:rPr/>
            </w:pPr>
            <w:r>
              <w:rPr>
                <w:sz w:val="24"/>
                <w:szCs w:val="24"/>
              </w:rPr>
              <w:t>Адрес: 142</w:t>
            </w:r>
            <w:r>
              <w:rPr>
                <w:rFonts w:eastAsia="Times New Roman"/>
                <w:sz w:val="24"/>
                <w:szCs w:val="24"/>
              </w:rPr>
              <w:t>921</w:t>
            </w:r>
            <w:r>
              <w:rPr>
                <w:sz w:val="24"/>
                <w:szCs w:val="24"/>
              </w:rPr>
              <w:t xml:space="preserve">, Московская область, </w:t>
            </w:r>
          </w:p>
          <w:p>
            <w:pPr>
              <w:pStyle w:val="Normal"/>
              <w:rPr/>
            </w:pPr>
            <w:r>
              <w:rPr>
                <w:sz w:val="24"/>
                <w:szCs w:val="24"/>
              </w:rPr>
              <w:t xml:space="preserve">г. </w:t>
            </w:r>
            <w:r>
              <w:rPr>
                <w:rFonts w:eastAsia="Times New Roman"/>
                <w:sz w:val="24"/>
                <w:szCs w:val="24"/>
              </w:rPr>
              <w:t>Ожерелье</w:t>
            </w:r>
            <w:r>
              <w:rPr>
                <w:sz w:val="24"/>
                <w:szCs w:val="24"/>
              </w:rPr>
              <w:t xml:space="preserve">, ул. </w:t>
            </w:r>
            <w:r>
              <w:rPr>
                <w:rFonts w:eastAsia="Times New Roman"/>
                <w:sz w:val="24"/>
                <w:szCs w:val="24"/>
              </w:rPr>
              <w:t>Больничная</w:t>
            </w:r>
            <w:r>
              <w:rPr>
                <w:sz w:val="24"/>
                <w:szCs w:val="24"/>
              </w:rPr>
              <w:t xml:space="preserve">, д. </w:t>
            </w:r>
            <w:r>
              <w:rPr>
                <w:rFonts w:eastAsia="Times New Roman"/>
                <w:sz w:val="24"/>
                <w:szCs w:val="24"/>
              </w:rPr>
              <w:t>1а</w:t>
            </w:r>
          </w:p>
          <w:p>
            <w:pPr>
              <w:pStyle w:val="Normal"/>
              <w:rPr/>
            </w:pPr>
            <w:r>
              <w:rPr>
                <w:color w:val="auto"/>
                <w:sz w:val="24"/>
                <w:szCs w:val="24"/>
              </w:rPr>
              <w:t xml:space="preserve">ИНН </w:t>
            </w:r>
            <w:r>
              <w:rPr>
                <w:rFonts w:eastAsia="Times New Roman" w:cs="Times New Roman"/>
                <w:color w:val="auto"/>
                <w:kern w:val="0"/>
                <w:sz w:val="24"/>
                <w:szCs w:val="24"/>
                <w:lang w:val="ru-RU" w:eastAsia="ru-RU" w:bidi="ar-SA"/>
              </w:rPr>
              <w:t>5019016388</w:t>
            </w:r>
          </w:p>
          <w:p>
            <w:pPr>
              <w:pStyle w:val="Normal"/>
              <w:rPr/>
            </w:pPr>
            <w:r>
              <w:rPr>
                <w:color w:val="auto"/>
                <w:sz w:val="24"/>
                <w:szCs w:val="24"/>
              </w:rPr>
              <w:t xml:space="preserve">ОГРН </w:t>
            </w:r>
            <w:r>
              <w:rPr>
                <w:rFonts w:eastAsia="Times New Roman" w:cs="Times New Roman"/>
                <w:color w:val="auto"/>
                <w:kern w:val="0"/>
                <w:sz w:val="24"/>
                <w:szCs w:val="24"/>
                <w:lang w:val="ru-RU" w:eastAsia="ru-RU" w:bidi="ar-SA"/>
              </w:rPr>
              <w:t>1045003851837</w:t>
            </w:r>
          </w:p>
          <w:p>
            <w:pPr>
              <w:pStyle w:val="Normal"/>
              <w:rPr/>
            </w:pPr>
            <w:r>
              <w:rPr>
                <w:color w:val="auto"/>
                <w:sz w:val="24"/>
                <w:szCs w:val="24"/>
              </w:rPr>
              <w:t xml:space="preserve">р/с </w:t>
            </w:r>
            <w:r>
              <w:rPr>
                <w:rFonts w:ascii="Open Sans" w:hAnsi="Open Sans"/>
                <w:b w:val="false"/>
                <w:i w:val="false"/>
                <w:caps w:val="false"/>
                <w:smallCaps w:val="false"/>
                <w:color w:val="auto"/>
                <w:spacing w:val="0"/>
                <w:sz w:val="24"/>
                <w:szCs w:val="24"/>
              </w:rPr>
              <w:t>40703810740420100215</w:t>
            </w:r>
            <w:r>
              <w:rPr>
                <w:color w:val="auto"/>
                <w:sz w:val="24"/>
                <w:szCs w:val="24"/>
              </w:rPr>
              <w:br/>
            </w:r>
            <w:r>
              <w:rPr>
                <w:rFonts w:ascii="Open Sans" w:hAnsi="Open Sans"/>
                <w:b w:val="false"/>
                <w:i w:val="false"/>
                <w:caps w:val="false"/>
                <w:smallCaps w:val="false"/>
                <w:color w:val="auto"/>
                <w:spacing w:val="0"/>
                <w:sz w:val="24"/>
                <w:szCs w:val="24"/>
              </w:rPr>
              <w:t>Ступинское ОСБ №6626</w:t>
            </w:r>
            <w:r>
              <w:rPr>
                <w:color w:val="auto"/>
                <w:sz w:val="24"/>
                <w:szCs w:val="24"/>
              </w:rPr>
              <w:br/>
            </w:r>
            <w:r>
              <w:rPr>
                <w:rFonts w:ascii="Open Sans" w:hAnsi="Open Sans"/>
                <w:b w:val="false"/>
                <w:i w:val="false"/>
                <w:caps w:val="false"/>
                <w:smallCaps w:val="false"/>
                <w:color w:val="auto"/>
                <w:spacing w:val="0"/>
                <w:sz w:val="24"/>
                <w:szCs w:val="24"/>
              </w:rPr>
              <w:t>Сбербанк России (ОАО) г. Москва</w:t>
            </w:r>
            <w:r>
              <w:rPr>
                <w:color w:val="auto"/>
                <w:sz w:val="24"/>
                <w:szCs w:val="24"/>
              </w:rPr>
              <w:t xml:space="preserve">  </w:t>
            </w:r>
          </w:p>
          <w:p>
            <w:pPr>
              <w:pStyle w:val="Normal"/>
              <w:rPr>
                <w:color w:val="auto"/>
                <w:sz w:val="24"/>
                <w:szCs w:val="24"/>
              </w:rPr>
            </w:pPr>
            <w:r>
              <w:rPr>
                <w:color w:val="auto"/>
                <w:sz w:val="24"/>
                <w:szCs w:val="24"/>
              </w:rPr>
              <w:t>к/с 30101810400000000225</w:t>
            </w:r>
          </w:p>
          <w:p>
            <w:pPr>
              <w:pStyle w:val="Normal"/>
              <w:rPr>
                <w:color w:val="auto"/>
                <w:sz w:val="24"/>
                <w:szCs w:val="24"/>
              </w:rPr>
            </w:pPr>
            <w:r>
              <w:rPr>
                <w:color w:val="auto"/>
                <w:sz w:val="24"/>
                <w:szCs w:val="24"/>
              </w:rPr>
              <w:t>БИК 044525225</w:t>
            </w:r>
          </w:p>
          <w:p>
            <w:pPr>
              <w:pStyle w:val="Normal"/>
              <w:rPr>
                <w:color w:val="auto"/>
              </w:rPr>
            </w:pPr>
            <w:r>
              <w:rPr>
                <w:color w:val="auto"/>
                <w:sz w:val="24"/>
                <w:szCs w:val="24"/>
              </w:rPr>
              <w:t xml:space="preserve">Тел.: 8 (496) </w:t>
            </w:r>
            <w:r>
              <w:rPr>
                <w:color w:val="auto"/>
                <w:sz w:val="24"/>
                <w:szCs w:val="24"/>
                <w:lang w:val="en-US"/>
              </w:rPr>
              <w:t>69-4-13-88</w:t>
            </w:r>
          </w:p>
          <w:p>
            <w:pPr>
              <w:pStyle w:val="Normal"/>
              <w:rPr/>
            </w:pPr>
            <w:r>
              <w:rPr>
                <w:sz w:val="24"/>
                <w:szCs w:val="24"/>
              </w:rPr>
              <w:t>Е-</w:t>
            </w:r>
            <w:r>
              <w:rPr>
                <w:sz w:val="24"/>
                <w:szCs w:val="24"/>
                <w:lang w:val="en-US"/>
              </w:rPr>
              <w:t>mail</w:t>
            </w:r>
            <w:r>
              <w:rPr>
                <w:sz w:val="24"/>
                <w:szCs w:val="24"/>
              </w:rPr>
              <w:t xml:space="preserve">: </w:t>
            </w:r>
            <w:r>
              <w:rPr>
                <w:sz w:val="24"/>
                <w:szCs w:val="24"/>
                <w:lang w:val="en-US"/>
              </w:rPr>
              <w:t>o</w:t>
            </w:r>
            <w:r>
              <w:rPr>
                <w:rFonts w:eastAsia="Times New Roman"/>
                <w:sz w:val="24"/>
                <w:szCs w:val="24"/>
                <w:lang w:val="en-US"/>
              </w:rPr>
              <w:t>bso@mail.ru</w:t>
            </w:r>
          </w:p>
          <w:p>
            <w:pPr>
              <w:pStyle w:val="ConsNormal1"/>
              <w:ind w:left="0" w:right="0" w:hanging="0"/>
              <w:jc w:val="both"/>
              <w:rPr>
                <w:rFonts w:ascii="Times New Roman" w:hAnsi="Times New Roman"/>
                <w:sz w:val="24"/>
                <w:szCs w:val="24"/>
              </w:rPr>
            </w:pPr>
            <w:r>
              <w:rPr>
                <w:rFonts w:ascii="Times New Roman" w:hAnsi="Times New Roman"/>
                <w:sz w:val="24"/>
                <w:szCs w:val="24"/>
              </w:rPr>
            </w:r>
          </w:p>
          <w:p>
            <w:pPr>
              <w:pStyle w:val="Normal"/>
              <w:jc w:val="left"/>
              <w:rPr>
                <w:sz w:val="24"/>
                <w:szCs w:val="24"/>
              </w:rPr>
            </w:pPr>
            <w:r>
              <w:rPr>
                <w:sz w:val="24"/>
                <w:szCs w:val="24"/>
              </w:rPr>
              <w:t>Главный врач</w:t>
            </w:r>
          </w:p>
          <w:p>
            <w:pPr>
              <w:pStyle w:val="Normal"/>
              <w:suppressAutoHyphens w:val="true"/>
              <w:spacing w:lineRule="auto" w:line="216" w:before="0" w:after="200"/>
              <w:jc w:val="left"/>
              <w:textAlignment w:val="baseline"/>
              <w:rPr>
                <w:sz w:val="24"/>
                <w:szCs w:val="24"/>
                <w:lang w:val="ru-RU"/>
              </w:rPr>
            </w:pPr>
            <w:r>
              <w:rPr>
                <w:sz w:val="24"/>
                <w:szCs w:val="24"/>
                <w:lang w:val="ru-RU"/>
              </w:rPr>
              <w:t xml:space="preserve">НУЗ «Узловая поликлиника </w:t>
              <w:br/>
              <w:t>на ст. О</w:t>
            </w:r>
            <w:r>
              <w:rPr>
                <w:rFonts w:eastAsia="Times New Roman" w:cs="Calibri"/>
                <w:sz w:val="24"/>
                <w:szCs w:val="24"/>
                <w:lang w:val="ru-RU" w:eastAsia="en-US"/>
              </w:rPr>
              <w:t>жерелье</w:t>
            </w:r>
            <w:r>
              <w:rPr>
                <w:sz w:val="24"/>
                <w:szCs w:val="24"/>
                <w:lang w:val="ru-RU"/>
              </w:rPr>
              <w:t xml:space="preserve"> ОАО «РЖД»</w:t>
            </w:r>
          </w:p>
        </w:tc>
        <w:tc>
          <w:tcPr>
            <w:tcW w:w="3972" w:type="dxa"/>
            <w:tcBorders/>
            <w:shd w:fill="auto" w:val="clear"/>
          </w:tcPr>
          <w:p>
            <w:pPr>
              <w:pStyle w:val="NoSpacing"/>
              <w:widowControl w:val="false"/>
              <w:suppressAutoHyphens w:val="true"/>
              <w:spacing w:lineRule="auto" w:line="216" w:before="0" w:after="200"/>
              <w:jc w:val="both"/>
              <w:textAlignment w:val="baseline"/>
              <w:rPr>
                <w:rFonts w:ascii="Times New Roman" w:hAnsi="Times New Roman" w:cs="Times New Roman"/>
                <w:b/>
                <w:b/>
                <w:sz w:val="24"/>
                <w:szCs w:val="24"/>
                <w:lang w:val="ru-RU"/>
              </w:rPr>
            </w:pPr>
            <w:r>
              <w:rPr>
                <w:rFonts w:cs="Times New Roman" w:ascii="Times New Roman" w:hAnsi="Times New Roman"/>
                <w:b/>
                <w:sz w:val="24"/>
                <w:szCs w:val="24"/>
                <w:lang w:val="ru-RU"/>
              </w:rPr>
              <w:t>Поставщик:</w:t>
            </w:r>
          </w:p>
          <w:p>
            <w:pPr>
              <w:pStyle w:val="Normal"/>
              <w:spacing w:lineRule="auto" w:line="216"/>
              <w:jc w:val="both"/>
              <w:rPr>
                <w:sz w:val="24"/>
                <w:szCs w:val="24"/>
              </w:rPr>
            </w:pPr>
            <w:r>
              <w:rPr>
                <w:sz w:val="24"/>
                <w:szCs w:val="24"/>
              </w:rPr>
            </w:r>
          </w:p>
        </w:tc>
      </w:tr>
      <w:tr>
        <w:trPr>
          <w:trHeight w:val="920" w:hRule="atLeast"/>
        </w:trPr>
        <w:tc>
          <w:tcPr>
            <w:tcW w:w="5491" w:type="dxa"/>
            <w:tcBorders/>
            <w:shd w:fill="auto" w:val="clear"/>
          </w:tcPr>
          <w:p>
            <w:pPr>
              <w:pStyle w:val="ConsNormal1"/>
              <w:spacing w:lineRule="auto" w:line="216" w:before="0" w:after="200"/>
              <w:ind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spacing w:lineRule="auto" w:line="216" w:before="0" w:after="200"/>
              <w:ind w:hanging="0"/>
              <w:jc w:val="both"/>
              <w:rPr/>
            </w:pPr>
            <w:r>
              <w:rPr>
                <w:rFonts w:cs="Times New Roman" w:ascii="Times New Roman" w:hAnsi="Times New Roman"/>
                <w:sz w:val="24"/>
                <w:szCs w:val="24"/>
              </w:rPr>
              <w:t>_______________ Д.В. Самарин</w:t>
            </w:r>
          </w:p>
        </w:tc>
        <w:tc>
          <w:tcPr>
            <w:tcW w:w="3972" w:type="dxa"/>
            <w:tcBorders/>
            <w:shd w:fill="auto" w:val="clear"/>
          </w:tcPr>
          <w:p>
            <w:pPr>
              <w:pStyle w:val="NoSpacing"/>
              <w:widowControl w:val="false"/>
              <w:suppressAutoHyphens w:val="true"/>
              <w:spacing w:lineRule="auto" w:line="216" w:before="0" w:after="200"/>
              <w:jc w:val="both"/>
              <w:textAlignment w:val="baseline"/>
              <w:rPr>
                <w:rFonts w:ascii="Times New Roman" w:hAnsi="Times New Roman" w:cs="Times New Roman"/>
                <w:sz w:val="24"/>
                <w:szCs w:val="24"/>
                <w:lang w:val="ru-RU"/>
              </w:rPr>
            </w:pPr>
            <w:r>
              <w:rPr>
                <w:rFonts w:cs="Times New Roman" w:ascii="Times New Roman" w:hAnsi="Times New Roman"/>
                <w:sz w:val="24"/>
                <w:szCs w:val="24"/>
                <w:lang w:val="ru-RU"/>
              </w:rPr>
            </w:r>
          </w:p>
          <w:p>
            <w:pPr>
              <w:pStyle w:val="NoSpacing"/>
              <w:widowControl w:val="false"/>
              <w:suppressAutoHyphens w:val="true"/>
              <w:spacing w:lineRule="auto" w:line="216" w:before="0" w:after="200"/>
              <w:jc w:val="both"/>
              <w:textAlignment w:val="baseline"/>
              <w:rPr>
                <w:rFonts w:ascii="Times New Roman" w:hAnsi="Times New Roman" w:cs="Times New Roman"/>
                <w:sz w:val="24"/>
                <w:szCs w:val="24"/>
                <w:lang w:val="ru-RU"/>
              </w:rPr>
            </w:pPr>
            <w:r>
              <w:rPr>
                <w:rFonts w:cs="Times New Roman" w:ascii="Times New Roman" w:hAnsi="Times New Roman"/>
                <w:sz w:val="24"/>
                <w:szCs w:val="24"/>
                <w:lang w:val="ru-RU"/>
              </w:rPr>
              <w:t xml:space="preserve">___________________ </w:t>
            </w:r>
          </w:p>
        </w:tc>
      </w:tr>
    </w:tbl>
    <w:p>
      <w:pPr>
        <w:pStyle w:val="Style29"/>
        <w:jc w:val="both"/>
        <w:rPr>
          <w:b/>
          <w:b/>
          <w:bCs/>
          <w:sz w:val="24"/>
          <w:szCs w:val="24"/>
        </w:rPr>
      </w:pPr>
      <w:r>
        <w:rPr>
          <w:b/>
          <w:bCs/>
          <w:sz w:val="24"/>
          <w:szCs w:val="24"/>
        </w:rPr>
      </w:r>
    </w:p>
    <w:p>
      <w:pPr>
        <w:pStyle w:val="Textbody"/>
        <w:jc w:val="both"/>
        <w:rPr>
          <w:b/>
          <w:b/>
          <w:bCs/>
        </w:rPr>
      </w:pPr>
      <w:r>
        <w:rPr>
          <w:b/>
          <w:bCs/>
        </w:rPr>
        <w:t xml:space="preserve">                  </w:t>
      </w:r>
    </w:p>
    <w:p>
      <w:pPr>
        <w:pStyle w:val="Standard"/>
        <w:jc w:val="right"/>
        <w:rPr/>
      </w:pPr>
      <w:r>
        <w:rPr/>
      </w:r>
    </w:p>
    <w:p>
      <w:pPr>
        <w:pStyle w:val="Standard"/>
        <w:jc w:val="right"/>
        <w:rPr/>
      </w:pPr>
      <w:r>
        <w:rPr/>
        <w:t>Приложение №1</w:t>
      </w:r>
    </w:p>
    <w:p>
      <w:pPr>
        <w:pStyle w:val="Standard"/>
        <w:tabs>
          <w:tab w:val="clear" w:pos="709"/>
          <w:tab w:val="left" w:pos="1040" w:leader="none"/>
          <w:tab w:val="left" w:pos="1440" w:leader="none"/>
          <w:tab w:val="left" w:pos="8000" w:leader="none"/>
        </w:tabs>
        <w:jc w:val="right"/>
        <w:rPr/>
      </w:pPr>
      <w:r>
        <w:rPr/>
        <w:t>к договору №             от «___» ___________ 201_г.</w:t>
      </w:r>
    </w:p>
    <w:p>
      <w:pPr>
        <w:pStyle w:val="Standard"/>
        <w:tabs>
          <w:tab w:val="clear" w:pos="709"/>
          <w:tab w:val="left" w:pos="1040" w:leader="none"/>
          <w:tab w:val="left" w:pos="1440" w:leader="none"/>
          <w:tab w:val="left" w:pos="8000" w:leader="none"/>
        </w:tabs>
        <w:jc w:val="both"/>
        <w:rPr/>
      </w:pPr>
      <w:r>
        <w:rPr/>
      </w:r>
    </w:p>
    <w:p>
      <w:pPr>
        <w:pStyle w:val="Standard"/>
        <w:tabs>
          <w:tab w:val="clear" w:pos="709"/>
          <w:tab w:val="left" w:pos="1040" w:leader="none"/>
          <w:tab w:val="left" w:pos="1440" w:leader="none"/>
          <w:tab w:val="left" w:pos="8000" w:leader="none"/>
        </w:tabs>
        <w:jc w:val="both"/>
        <w:rPr/>
      </w:pPr>
      <w:r>
        <w:rPr/>
      </w:r>
    </w:p>
    <w:p>
      <w:pPr>
        <w:pStyle w:val="Standard"/>
        <w:tabs>
          <w:tab w:val="clear" w:pos="709"/>
          <w:tab w:val="left" w:pos="1040" w:leader="none"/>
          <w:tab w:val="left" w:pos="1440" w:leader="none"/>
          <w:tab w:val="left" w:pos="8000" w:leader="none"/>
        </w:tabs>
        <w:jc w:val="center"/>
        <w:rPr/>
      </w:pPr>
      <w:r>
        <w:rPr/>
        <w:t xml:space="preserve">Спецификация  </w:t>
      </w:r>
    </w:p>
    <w:p>
      <w:pPr>
        <w:pStyle w:val="Standard"/>
        <w:tabs>
          <w:tab w:val="clear" w:pos="709"/>
          <w:tab w:val="left" w:pos="1040" w:leader="none"/>
          <w:tab w:val="left" w:pos="1440" w:leader="none"/>
          <w:tab w:val="left" w:pos="8000" w:leader="none"/>
        </w:tabs>
        <w:jc w:val="both"/>
        <w:rPr/>
      </w:pPr>
      <w:r>
        <w:rPr/>
      </w:r>
    </w:p>
    <w:p>
      <w:pPr>
        <w:pStyle w:val="Standard"/>
        <w:tabs>
          <w:tab w:val="clear" w:pos="709"/>
          <w:tab w:val="left" w:pos="1040" w:leader="none"/>
          <w:tab w:val="left" w:pos="1440" w:leader="none"/>
          <w:tab w:val="left" w:pos="8000" w:leader="none"/>
        </w:tabs>
        <w:jc w:val="both"/>
        <w:rPr/>
      </w:pPr>
      <w:r>
        <w:rPr/>
      </w:r>
    </w:p>
    <w:tbl>
      <w:tblPr>
        <w:tblW w:w="10278" w:type="dxa"/>
        <w:jc w:val="left"/>
        <w:tblInd w:w="-199" w:type="dxa"/>
        <w:tblCellMar>
          <w:top w:w="0" w:type="dxa"/>
          <w:left w:w="108" w:type="dxa"/>
          <w:bottom w:w="0" w:type="dxa"/>
          <w:right w:w="108" w:type="dxa"/>
        </w:tblCellMar>
        <w:tblLook w:firstRow="1" w:noVBand="0" w:lastRow="0" w:firstColumn="1" w:lastColumn="0" w:noHBand="0" w:val="00a0"/>
      </w:tblPr>
      <w:tblGrid>
        <w:gridCol w:w="543"/>
        <w:gridCol w:w="2691"/>
        <w:gridCol w:w="777"/>
        <w:gridCol w:w="690"/>
        <w:gridCol w:w="1507"/>
        <w:gridCol w:w="1221"/>
        <w:gridCol w:w="1002"/>
        <w:gridCol w:w="14"/>
        <w:gridCol w:w="1831"/>
      </w:tblGrid>
      <w:tr>
        <w:trPr>
          <w:trHeight w:val="596" w:hRule="atLeast"/>
        </w:trPr>
        <w:tc>
          <w:tcPr>
            <w:tcW w:w="543" w:type="dxa"/>
            <w:tcBorders>
              <w:top w:val="single" w:sz="4" w:space="0" w:color="000000"/>
              <w:left w:val="single" w:sz="4" w:space="0" w:color="000000"/>
              <w:bottom w:val="single" w:sz="4" w:space="0" w:color="000000"/>
            </w:tcBorders>
            <w:shd w:fill="auto" w:val="clear"/>
            <w:vAlign w:val="center"/>
          </w:tcPr>
          <w:p>
            <w:pPr>
              <w:pStyle w:val="Standard"/>
              <w:snapToGrid w:val="false"/>
              <w:jc w:val="both"/>
              <w:rPr/>
            </w:pPr>
            <w:r>
              <w:rPr/>
              <w:t xml:space="preserve">№ </w:t>
            </w:r>
            <w:r>
              <w:rPr/>
              <w:t>п/п</w:t>
            </w:r>
          </w:p>
        </w:tc>
        <w:tc>
          <w:tcPr>
            <w:tcW w:w="2691"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t>Наименование Товара /Производитель</w:t>
            </w:r>
          </w:p>
          <w:p>
            <w:pPr>
              <w:pStyle w:val="Standard"/>
              <w:snapToGrid w:val="false"/>
              <w:jc w:val="center"/>
              <w:rPr/>
            </w:pPr>
            <w:r>
              <w:rPr/>
              <w:t>/Страна производства</w:t>
            </w:r>
          </w:p>
        </w:tc>
        <w:tc>
          <w:tcPr>
            <w:tcW w:w="777" w:type="dxa"/>
            <w:tcBorders>
              <w:top w:val="single" w:sz="4" w:space="0" w:color="000000"/>
              <w:left w:val="single" w:sz="4" w:space="0" w:color="000000"/>
              <w:bottom w:val="single" w:sz="4" w:space="0" w:color="000000"/>
            </w:tcBorders>
            <w:shd w:fill="auto" w:val="clear"/>
            <w:vAlign w:val="center"/>
          </w:tcPr>
          <w:p>
            <w:pPr>
              <w:pStyle w:val="Standard"/>
              <w:snapToGrid w:val="false"/>
              <w:ind w:left="-93" w:right="-53" w:hanging="0"/>
              <w:jc w:val="center"/>
              <w:rPr/>
            </w:pPr>
            <w:r>
              <w:rPr/>
              <w:t>Ед.</w:t>
              <w:br/>
              <w:t>изм.</w:t>
            </w:r>
          </w:p>
        </w:tc>
        <w:tc>
          <w:tcPr>
            <w:tcW w:w="690" w:type="dxa"/>
            <w:tcBorders>
              <w:top w:val="single" w:sz="4" w:space="0" w:color="000000"/>
              <w:left w:val="single" w:sz="4" w:space="0" w:color="000000"/>
              <w:bottom w:val="single" w:sz="4" w:space="0" w:color="000000"/>
            </w:tcBorders>
            <w:shd w:fill="auto" w:val="clear"/>
            <w:vAlign w:val="center"/>
          </w:tcPr>
          <w:p>
            <w:pPr>
              <w:pStyle w:val="Standard"/>
              <w:snapToGrid w:val="false"/>
              <w:ind w:left="-93" w:right="-53" w:hanging="0"/>
              <w:jc w:val="center"/>
              <w:rPr/>
            </w:pPr>
            <w:r>
              <w:rPr/>
              <w:t xml:space="preserve">Кол-во   </w:t>
            </w:r>
          </w:p>
        </w:tc>
        <w:tc>
          <w:tcPr>
            <w:tcW w:w="1507" w:type="dxa"/>
            <w:tcBorders>
              <w:top w:val="single" w:sz="4" w:space="0" w:color="000000"/>
              <w:left w:val="single" w:sz="4" w:space="0" w:color="000000"/>
              <w:bottom w:val="single" w:sz="4" w:space="0" w:color="000000"/>
            </w:tcBorders>
            <w:shd w:fill="auto" w:val="clear"/>
            <w:vAlign w:val="center"/>
          </w:tcPr>
          <w:p>
            <w:pPr>
              <w:pStyle w:val="Standard"/>
              <w:snapToGrid w:val="false"/>
              <w:ind w:left="-163" w:right="-177" w:hanging="0"/>
              <w:jc w:val="center"/>
              <w:rPr/>
            </w:pPr>
            <w:r>
              <w:rPr/>
            </w:r>
          </w:p>
          <w:p>
            <w:pPr>
              <w:pStyle w:val="Standard"/>
              <w:snapToGrid w:val="false"/>
              <w:jc w:val="center"/>
              <w:rPr/>
            </w:pPr>
            <w:r>
              <w:rPr/>
              <w:t>НДС,%.</w:t>
            </w:r>
          </w:p>
          <w:p>
            <w:pPr>
              <w:pStyle w:val="Standard"/>
              <w:snapToGrid w:val="false"/>
              <w:jc w:val="center"/>
              <w:rPr/>
            </w:pPr>
            <w:r>
              <w:rPr/>
              <w:t>/НДС не облагается</w:t>
            </w:r>
          </w:p>
        </w:tc>
        <w:tc>
          <w:tcPr>
            <w:tcW w:w="1221"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t>Цена за ед. с НДС, руб.</w:t>
            </w:r>
          </w:p>
        </w:tc>
        <w:tc>
          <w:tcPr>
            <w:tcW w:w="1002" w:type="dxa"/>
            <w:tcBorders>
              <w:top w:val="single" w:sz="4" w:space="0" w:color="000000"/>
              <w:left w:val="single" w:sz="4" w:space="0" w:color="000000"/>
              <w:bottom w:val="single" w:sz="4" w:space="0" w:color="000000"/>
            </w:tcBorders>
            <w:shd w:fill="auto" w:val="clear"/>
            <w:vAlign w:val="center"/>
          </w:tcPr>
          <w:p>
            <w:pPr>
              <w:pStyle w:val="Standard"/>
              <w:snapToGrid w:val="false"/>
              <w:jc w:val="center"/>
              <w:rPr/>
            </w:pPr>
            <w:r>
              <w:rPr/>
              <w:t>Сумма НДС, руб.</w:t>
            </w:r>
          </w:p>
          <w:p>
            <w:pPr>
              <w:pStyle w:val="Standard"/>
              <w:snapToGrid w:val="false"/>
              <w:jc w:val="center"/>
              <w:rPr/>
            </w:pPr>
            <w:r>
              <w:rPr/>
            </w:r>
          </w:p>
        </w:tc>
        <w:tc>
          <w:tcPr>
            <w:tcW w:w="1845"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andard"/>
              <w:snapToGrid w:val="false"/>
              <w:jc w:val="center"/>
              <w:rPr/>
            </w:pPr>
            <w:r>
              <w:rPr/>
              <w:t>Стоимость вкл. НДС, руб.</w:t>
            </w:r>
          </w:p>
        </w:tc>
      </w:tr>
      <w:tr>
        <w:trPr>
          <w:trHeight w:val="433" w:hRule="atLeast"/>
        </w:trPr>
        <w:tc>
          <w:tcPr>
            <w:tcW w:w="543" w:type="dxa"/>
            <w:tcBorders>
              <w:left w:val="single" w:sz="4" w:space="0" w:color="000000"/>
              <w:bottom w:val="single" w:sz="4" w:space="0" w:color="000000"/>
            </w:tcBorders>
            <w:shd w:fill="auto" w:val="clear"/>
            <w:vAlign w:val="center"/>
          </w:tcPr>
          <w:p>
            <w:pPr>
              <w:pStyle w:val="Standard"/>
              <w:snapToGrid w:val="false"/>
              <w:jc w:val="both"/>
              <w:rPr/>
            </w:pPr>
            <w:r>
              <w:rPr/>
            </w:r>
          </w:p>
        </w:tc>
        <w:tc>
          <w:tcPr>
            <w:tcW w:w="2691" w:type="dxa"/>
            <w:tcBorders>
              <w:left w:val="single" w:sz="4" w:space="0" w:color="000000"/>
              <w:bottom w:val="single" w:sz="4" w:space="0" w:color="000000"/>
            </w:tcBorders>
            <w:shd w:fill="auto" w:val="clear"/>
            <w:vAlign w:val="center"/>
          </w:tcPr>
          <w:p>
            <w:pPr>
              <w:pStyle w:val="Standard"/>
              <w:suppressAutoHyphens w:val="false"/>
              <w:snapToGrid w:val="false"/>
              <w:jc w:val="both"/>
              <w:rPr>
                <w:iCs/>
              </w:rPr>
            </w:pPr>
            <w:r>
              <w:rPr>
                <w:iCs/>
              </w:rPr>
            </w:r>
          </w:p>
        </w:tc>
        <w:tc>
          <w:tcPr>
            <w:tcW w:w="777" w:type="dxa"/>
            <w:tcBorders>
              <w:left w:val="single" w:sz="4" w:space="0" w:color="000000"/>
              <w:bottom w:val="single" w:sz="4" w:space="0" w:color="000000"/>
            </w:tcBorders>
            <w:shd w:fill="auto" w:val="clear"/>
            <w:vAlign w:val="center"/>
          </w:tcPr>
          <w:p>
            <w:pPr>
              <w:pStyle w:val="Standard"/>
              <w:snapToGrid w:val="false"/>
              <w:ind w:left="-108" w:right="-108" w:hanging="0"/>
              <w:jc w:val="both"/>
              <w:rPr/>
            </w:pPr>
            <w:r>
              <w:rPr/>
            </w:r>
          </w:p>
        </w:tc>
        <w:tc>
          <w:tcPr>
            <w:tcW w:w="690" w:type="dxa"/>
            <w:tcBorders>
              <w:left w:val="single" w:sz="4" w:space="0" w:color="000000"/>
              <w:bottom w:val="single" w:sz="4" w:space="0" w:color="000000"/>
            </w:tcBorders>
            <w:shd w:fill="auto" w:val="clear"/>
            <w:vAlign w:val="center"/>
          </w:tcPr>
          <w:p>
            <w:pPr>
              <w:pStyle w:val="Standard"/>
              <w:snapToGrid w:val="false"/>
              <w:ind w:right="-108" w:hanging="0"/>
              <w:jc w:val="both"/>
              <w:rPr/>
            </w:pPr>
            <w:r>
              <w:rPr/>
            </w:r>
          </w:p>
        </w:tc>
        <w:tc>
          <w:tcPr>
            <w:tcW w:w="1507" w:type="dxa"/>
            <w:tcBorders>
              <w:left w:val="single" w:sz="4" w:space="0" w:color="000000"/>
              <w:bottom w:val="single" w:sz="4" w:space="0" w:color="000000"/>
            </w:tcBorders>
            <w:shd w:fill="auto" w:val="clear"/>
            <w:vAlign w:val="center"/>
          </w:tcPr>
          <w:p>
            <w:pPr>
              <w:pStyle w:val="Standard"/>
              <w:snapToGrid w:val="false"/>
              <w:jc w:val="both"/>
              <w:rPr/>
            </w:pPr>
            <w:r>
              <w:rPr/>
            </w:r>
          </w:p>
        </w:tc>
        <w:tc>
          <w:tcPr>
            <w:tcW w:w="1221" w:type="dxa"/>
            <w:tcBorders>
              <w:left w:val="single" w:sz="4" w:space="0" w:color="000000"/>
              <w:bottom w:val="single" w:sz="4" w:space="0" w:color="000000"/>
            </w:tcBorders>
            <w:shd w:fill="auto" w:val="clear"/>
            <w:vAlign w:val="center"/>
          </w:tcPr>
          <w:p>
            <w:pPr>
              <w:pStyle w:val="Standard"/>
              <w:snapToGrid w:val="false"/>
              <w:jc w:val="both"/>
              <w:rPr/>
            </w:pPr>
            <w:r>
              <w:rPr/>
            </w:r>
          </w:p>
        </w:tc>
        <w:tc>
          <w:tcPr>
            <w:tcW w:w="1002" w:type="dxa"/>
            <w:tcBorders>
              <w:left w:val="single" w:sz="4" w:space="0" w:color="000000"/>
              <w:bottom w:val="single" w:sz="4" w:space="0" w:color="000000"/>
            </w:tcBorders>
            <w:shd w:fill="auto" w:val="clear"/>
            <w:vAlign w:val="center"/>
          </w:tcPr>
          <w:p>
            <w:pPr>
              <w:pStyle w:val="Standard"/>
              <w:snapToGrid w:val="false"/>
              <w:jc w:val="both"/>
              <w:rPr/>
            </w:pPr>
            <w:r>
              <w:rPr/>
            </w:r>
          </w:p>
        </w:tc>
        <w:tc>
          <w:tcPr>
            <w:tcW w:w="1845" w:type="dxa"/>
            <w:gridSpan w:val="2"/>
            <w:tcBorders>
              <w:left w:val="single" w:sz="4" w:space="0" w:color="000000"/>
              <w:bottom w:val="single" w:sz="4" w:space="0" w:color="000000"/>
              <w:right w:val="single" w:sz="4" w:space="0" w:color="000000"/>
            </w:tcBorders>
            <w:shd w:fill="auto" w:val="clear"/>
            <w:vAlign w:val="center"/>
          </w:tcPr>
          <w:p>
            <w:pPr>
              <w:pStyle w:val="Standard"/>
              <w:snapToGrid w:val="false"/>
              <w:jc w:val="both"/>
              <w:rPr/>
            </w:pPr>
            <w:r>
              <w:rPr/>
            </w:r>
          </w:p>
        </w:tc>
      </w:tr>
      <w:tr>
        <w:trPr/>
        <w:tc>
          <w:tcPr>
            <w:tcW w:w="8445" w:type="dxa"/>
            <w:gridSpan w:val="8"/>
            <w:tcBorders>
              <w:left w:val="single" w:sz="4" w:space="0" w:color="000000"/>
              <w:bottom w:val="single" w:sz="4" w:space="0" w:color="000000"/>
            </w:tcBorders>
            <w:shd w:fill="auto" w:val="clear"/>
            <w:vAlign w:val="center"/>
          </w:tcPr>
          <w:p>
            <w:pPr>
              <w:pStyle w:val="Standard"/>
              <w:snapToGrid w:val="false"/>
              <w:jc w:val="both"/>
              <w:rPr/>
            </w:pPr>
            <w:r>
              <w:rPr/>
              <w:t>ИТОГО:</w:t>
            </w:r>
          </w:p>
        </w:tc>
        <w:tc>
          <w:tcPr>
            <w:tcW w:w="1831" w:type="dxa"/>
            <w:tcBorders>
              <w:left w:val="single" w:sz="4" w:space="0" w:color="000000"/>
              <w:bottom w:val="single" w:sz="4" w:space="0" w:color="000000"/>
              <w:right w:val="single" w:sz="4" w:space="0" w:color="000000"/>
            </w:tcBorders>
            <w:shd w:fill="auto" w:val="clear"/>
            <w:vAlign w:val="center"/>
          </w:tcPr>
          <w:p>
            <w:pPr>
              <w:pStyle w:val="Standard"/>
              <w:snapToGrid w:val="false"/>
              <w:jc w:val="both"/>
              <w:rPr/>
            </w:pPr>
            <w:r>
              <w:rPr/>
            </w:r>
          </w:p>
        </w:tc>
      </w:tr>
      <w:tr>
        <w:trPr/>
        <w:tc>
          <w:tcPr>
            <w:tcW w:w="8445" w:type="dxa"/>
            <w:gridSpan w:val="8"/>
            <w:tcBorders>
              <w:left w:val="single" w:sz="4" w:space="0" w:color="000000"/>
              <w:bottom w:val="single" w:sz="4" w:space="0" w:color="000000"/>
            </w:tcBorders>
            <w:shd w:fill="auto" w:val="clear"/>
            <w:vAlign w:val="center"/>
          </w:tcPr>
          <w:p>
            <w:pPr>
              <w:pStyle w:val="Standard"/>
              <w:snapToGrid w:val="false"/>
              <w:jc w:val="both"/>
              <w:rPr/>
            </w:pPr>
            <w:r>
              <w:rPr/>
            </w:r>
          </w:p>
        </w:tc>
        <w:tc>
          <w:tcPr>
            <w:tcW w:w="1831" w:type="dxa"/>
            <w:tcBorders>
              <w:left w:val="single" w:sz="4" w:space="0" w:color="000000"/>
              <w:bottom w:val="single" w:sz="4" w:space="0" w:color="000000"/>
              <w:right w:val="single" w:sz="4" w:space="0" w:color="000000"/>
            </w:tcBorders>
            <w:shd w:fill="auto" w:val="clear"/>
            <w:vAlign w:val="center"/>
          </w:tcPr>
          <w:p>
            <w:pPr>
              <w:pStyle w:val="Standard"/>
              <w:snapToGrid w:val="false"/>
              <w:jc w:val="both"/>
              <w:rPr/>
            </w:pPr>
            <w:r>
              <w:rPr/>
            </w:r>
          </w:p>
        </w:tc>
      </w:tr>
    </w:tbl>
    <w:p>
      <w:pPr>
        <w:pStyle w:val="Style29"/>
        <w:ind w:firstLine="426"/>
        <w:jc w:val="both"/>
        <w:rPr>
          <w:rStyle w:val="4"/>
          <w:i w:val="false"/>
          <w:i w:val="false"/>
          <w:iCs/>
          <w:sz w:val="24"/>
          <w:szCs w:val="24"/>
        </w:rPr>
      </w:pPr>
      <w:r>
        <w:rPr>
          <w:bCs/>
          <w:sz w:val="24"/>
          <w:szCs w:val="24"/>
        </w:rPr>
        <w:t xml:space="preserve">Итого по Спецификации - </w:t>
      </w:r>
      <w:r>
        <w:rPr>
          <w:rStyle w:val="4"/>
          <w:iCs/>
          <w:sz w:val="24"/>
          <w:szCs w:val="24"/>
        </w:rPr>
        <w:t>______  (___________) рублей ___ копеек, в том числе НДС ___% - _____ (_______________) рублей _____ копеек /или НДС не облагается</w:t>
      </w:r>
    </w:p>
    <w:p>
      <w:pPr>
        <w:pStyle w:val="Standard"/>
        <w:spacing w:lineRule="auto" w:line="360"/>
        <w:jc w:val="both"/>
        <w:rPr/>
      </w:pPr>
      <w:r>
        <w:rPr/>
      </w:r>
    </w:p>
    <w:p>
      <w:pPr>
        <w:pStyle w:val="Standard"/>
        <w:tabs>
          <w:tab w:val="clear" w:pos="709"/>
          <w:tab w:val="left" w:pos="1040" w:leader="none"/>
          <w:tab w:val="left" w:pos="1440" w:leader="none"/>
          <w:tab w:val="left" w:pos="8000" w:leader="none"/>
        </w:tabs>
        <w:spacing w:lineRule="auto" w:line="360"/>
        <w:jc w:val="both"/>
        <w:rPr/>
      </w:pPr>
      <w:r>
        <w:rPr/>
      </w:r>
    </w:p>
    <w:p>
      <w:pPr>
        <w:pStyle w:val="Standard"/>
        <w:jc w:val="both"/>
        <w:rPr/>
      </w:pPr>
      <w:r>
        <w:rPr/>
        <w:t xml:space="preserve">от Покупателя </w:t>
        <w:tab/>
        <w:tab/>
        <w:tab/>
        <w:tab/>
        <w:t xml:space="preserve">                  от Поставщика</w:t>
      </w:r>
    </w:p>
    <w:p>
      <w:pPr>
        <w:pStyle w:val="Standard"/>
        <w:tabs>
          <w:tab w:val="clear" w:pos="709"/>
          <w:tab w:val="left" w:pos="1040" w:leader="none"/>
          <w:tab w:val="left" w:pos="1440" w:leader="none"/>
          <w:tab w:val="left" w:pos="8000" w:leader="none"/>
        </w:tabs>
        <w:spacing w:lineRule="auto" w:line="360"/>
        <w:jc w:val="both"/>
        <w:rPr/>
      </w:pPr>
      <w:r>
        <w:rPr/>
        <w:t>Главный врач</w:t>
      </w:r>
    </w:p>
    <w:p>
      <w:pPr>
        <w:pStyle w:val="Standard"/>
        <w:jc w:val="both"/>
        <w:rPr/>
      </w:pPr>
      <w:r>
        <w:rPr/>
        <w:t xml:space="preserve">_______________  Д.В. </w:t>
      </w:r>
      <w:bookmarkStart w:id="6" w:name="_GoBack"/>
      <w:bookmarkEnd w:id="6"/>
      <w:r>
        <w:rPr>
          <w:kern w:val="2"/>
          <w:sz w:val="24"/>
          <w:szCs w:val="24"/>
        </w:rPr>
        <w:t>Самарин</w:t>
      </w:r>
      <w:r>
        <w:rPr/>
        <w:tab/>
        <w:tab/>
        <w:tab/>
        <w:tab/>
        <w:tab/>
        <w:tab/>
        <w:t xml:space="preserve">     </w:t>
      </w:r>
    </w:p>
    <w:p>
      <w:pPr>
        <w:pStyle w:val="Textbodyindent"/>
        <w:ind w:left="283" w:hanging="0"/>
        <w:jc w:val="both"/>
        <w:rPr>
          <w:rFonts w:ascii="Times New Roman" w:hAnsi="Times New Roman"/>
          <w:sz w:val="24"/>
          <w:szCs w:val="24"/>
        </w:rPr>
      </w:pPr>
      <w:r>
        <w:rPr>
          <w:rFonts w:ascii="Times New Roman" w:hAnsi="Times New Roman"/>
          <w:sz w:val="24"/>
          <w:szCs w:val="24"/>
        </w:rPr>
      </w:r>
    </w:p>
    <w:p>
      <w:pPr>
        <w:pStyle w:val="Normal"/>
        <w:rPr/>
      </w:pPr>
      <w:r>
        <w:rPr/>
      </w:r>
    </w:p>
    <w:sectPr>
      <w:type w:val="nextPage"/>
      <w:pgSz w:w="11906" w:h="16838"/>
      <w:pgMar w:left="1134" w:right="850" w:header="0" w:top="426"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w:charset w:val="cc"/>
    <w:family w:val="roman"/>
    <w:pitch w:val="variable"/>
  </w:font>
  <w:font w:name="Liberation Sans">
    <w:altName w:val="Arial"/>
    <w:charset w:val="cc"/>
    <w:family w:val="roman"/>
    <w:pitch w:val="variable"/>
  </w:font>
  <w:font w:name="Courier New">
    <w:charset w:val="cc"/>
    <w:family w:val="roman"/>
    <w:pitch w:val="variable"/>
  </w:font>
  <w:font w:name="Tahoma">
    <w:charset w:val="cc"/>
    <w:family w:val="roman"/>
    <w:pitch w:val="variable"/>
  </w:font>
  <w:font w:name="Open San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1"/>
      <w:numFmt w:val="decimal"/>
      <w:lvlText w:val="%1."/>
      <w:lvlJc w:val="left"/>
      <w:pPr>
        <w:ind w:left="0" w:hanging="0"/>
      </w:pPr>
      <w:rPr>
        <w:rFonts w:cs="Times New Roman"/>
      </w:rPr>
    </w:lvl>
    <w:lvl w:ilvl="1">
      <w:start w:val="6"/>
      <w:numFmt w:val="decimal"/>
      <w:lvlText w:val="%1.%2."/>
      <w:lvlJc w:val="left"/>
      <w:pPr>
        <w:ind w:left="0" w:hanging="0"/>
      </w:pPr>
      <w:rPr>
        <w:sz w:val="24"/>
        <w:szCs w:val="24"/>
        <w:rFonts w:ascii="Times New Roman" w:hAnsi="Times New Roman" w:cs="Times New Roman"/>
      </w:rPr>
    </w:lvl>
    <w:lvl w:ilvl="2">
      <w:start w:val="1"/>
      <w:numFmt w:val="decimal"/>
      <w:lvlText w:val="%1.%2.%3."/>
      <w:lvlJc w:val="left"/>
      <w:pPr>
        <w:ind w:left="0" w:hanging="0"/>
      </w:pPr>
      <w:rPr>
        <w:rFonts w:cs="Times New Roman"/>
      </w:rPr>
    </w:lvl>
    <w:lvl w:ilvl="3">
      <w:start w:val="1"/>
      <w:numFmt w:val="decimal"/>
      <w:lvlText w:val="%1.%2.%3.%4."/>
      <w:lvlJc w:val="left"/>
      <w:pPr>
        <w:ind w:left="0" w:hanging="0"/>
      </w:pPr>
      <w:rPr>
        <w:rFonts w:cs="Times New Roman"/>
      </w:rPr>
    </w:lvl>
    <w:lvl w:ilvl="4">
      <w:start w:val="1"/>
      <w:numFmt w:val="decimal"/>
      <w:lvlText w:val="%1.%2.%3.%4.%5."/>
      <w:lvlJc w:val="left"/>
      <w:pPr>
        <w:ind w:left="0" w:hanging="0"/>
      </w:pPr>
      <w:rPr>
        <w:rFonts w:cs="Times New Roman"/>
      </w:rPr>
    </w:lvl>
    <w:lvl w:ilvl="5">
      <w:start w:val="1"/>
      <w:numFmt w:val="decimal"/>
      <w:lvlText w:val="%1.%2.%3.%4.%5.%6."/>
      <w:lvlJc w:val="left"/>
      <w:pPr>
        <w:ind w:left="0" w:hanging="0"/>
      </w:pPr>
      <w:rPr>
        <w:rFonts w:cs="Times New Roman"/>
      </w:rPr>
    </w:lvl>
    <w:lvl w:ilvl="6">
      <w:start w:val="1"/>
      <w:numFmt w:val="decimal"/>
      <w:lvlText w:val="%1.%2.%3.%4.%5.%6.%7."/>
      <w:lvlJc w:val="left"/>
      <w:pPr>
        <w:ind w:left="0" w:hanging="0"/>
      </w:pPr>
      <w:rPr>
        <w:rFonts w:cs="Times New Roman"/>
      </w:rPr>
    </w:lvl>
    <w:lvl w:ilvl="7">
      <w:start w:val="1"/>
      <w:numFmt w:val="decimal"/>
      <w:lvlText w:val="%1.%2.%3.%4.%5.%6.%7.%8."/>
      <w:lvlJc w:val="left"/>
      <w:pPr>
        <w:ind w:left="0" w:hanging="0"/>
      </w:pPr>
      <w:rPr>
        <w:rFonts w:cs="Times New Roman"/>
      </w:rPr>
    </w:lvl>
    <w:lvl w:ilvl="8">
      <w:start w:val="1"/>
      <w:numFmt w:val="decimal"/>
      <w:lvlText w:val="%1.%2.%3.%4.%5.%6.%7.%8.%9."/>
      <w:lvlJc w:val="left"/>
      <w:pPr>
        <w:ind w:left="0" w:hanging="0"/>
      </w:pPr>
      <w:rPr>
        <w:rFonts w:cs="Times New Roman"/>
      </w:rPr>
    </w:lvl>
  </w:abstractNum>
  <w:abstractNum w:abstractNumId="2">
    <w:lvl w:ilvl="0">
      <w:start w:val="12"/>
      <w:numFmt w:val="decimal"/>
      <w:lvlText w:val="%1."/>
      <w:lvlJc w:val="left"/>
      <w:pPr>
        <w:ind w:left="0" w:hanging="0"/>
      </w:pPr>
      <w:rPr>
        <w:rFonts w:cs="Times New Roman"/>
      </w:rPr>
    </w:lvl>
    <w:lvl w:ilvl="1">
      <w:start w:val="7"/>
      <w:numFmt w:val="decimal"/>
      <w:lvlText w:val="%1.%2."/>
      <w:lvlJc w:val="left"/>
      <w:pPr>
        <w:ind w:left="0" w:hanging="0"/>
      </w:pPr>
      <w:rPr>
        <w:rFonts w:cs="Times New Roman"/>
      </w:rPr>
    </w:lvl>
    <w:lvl w:ilvl="2">
      <w:start w:val="1"/>
      <w:numFmt w:val="decimal"/>
      <w:lvlText w:val="%1.%2.%3."/>
      <w:lvlJc w:val="left"/>
      <w:pPr>
        <w:ind w:left="0" w:hanging="0"/>
      </w:pPr>
      <w:rPr>
        <w:rFonts w:cs="Times New Roman"/>
      </w:rPr>
    </w:lvl>
    <w:lvl w:ilvl="3">
      <w:start w:val="1"/>
      <w:numFmt w:val="decimal"/>
      <w:lvlText w:val="%1.%2.%3.%4."/>
      <w:lvlJc w:val="left"/>
      <w:pPr>
        <w:ind w:left="0" w:hanging="0"/>
      </w:pPr>
      <w:rPr>
        <w:rFonts w:cs="Times New Roman"/>
      </w:rPr>
    </w:lvl>
    <w:lvl w:ilvl="4">
      <w:start w:val="1"/>
      <w:numFmt w:val="decimal"/>
      <w:lvlText w:val="%1.%2.%3.%4.%5."/>
      <w:lvlJc w:val="left"/>
      <w:pPr>
        <w:ind w:left="0" w:hanging="0"/>
      </w:pPr>
      <w:rPr>
        <w:rFonts w:cs="Times New Roman"/>
      </w:rPr>
    </w:lvl>
    <w:lvl w:ilvl="5">
      <w:start w:val="1"/>
      <w:numFmt w:val="decimal"/>
      <w:lvlText w:val="%1.%2.%3.%4.%5.%6."/>
      <w:lvlJc w:val="left"/>
      <w:pPr>
        <w:ind w:left="0" w:hanging="0"/>
      </w:pPr>
      <w:rPr>
        <w:rFonts w:cs="Times New Roman"/>
      </w:rPr>
    </w:lvl>
    <w:lvl w:ilvl="6">
      <w:start w:val="1"/>
      <w:numFmt w:val="decimal"/>
      <w:lvlText w:val="%1.%2.%3.%4.%5.%6.%7."/>
      <w:lvlJc w:val="left"/>
      <w:pPr>
        <w:ind w:left="0" w:hanging="0"/>
      </w:pPr>
      <w:rPr>
        <w:rFonts w:cs="Times New Roman"/>
      </w:rPr>
    </w:lvl>
    <w:lvl w:ilvl="7">
      <w:start w:val="1"/>
      <w:numFmt w:val="decimal"/>
      <w:lvlText w:val="%1.%2.%3.%4.%5.%6.%7.%8."/>
      <w:lvlJc w:val="left"/>
      <w:pPr>
        <w:ind w:left="0" w:hanging="0"/>
      </w:pPr>
      <w:rPr>
        <w:rFonts w:cs="Times New Roman"/>
      </w:rPr>
    </w:lvl>
    <w:lvl w:ilvl="8">
      <w:start w:val="1"/>
      <w:numFmt w:val="decimal"/>
      <w:lvlText w:val="%1.%2.%3.%4.%5.%6.%7.%8.%9."/>
      <w:lvlJc w:val="left"/>
      <w:pPr>
        <w:ind w:left="0" w:hanging="0"/>
      </w:pPr>
      <w:rPr>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widowControl/>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15497"/>
    <w:pPr>
      <w:widowControl w:val="false"/>
      <w:kinsoku w:val="true"/>
      <w:overflowPunct w:val="true"/>
      <w:autoSpaceDE w:val="true"/>
      <w:bidi w:val="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locked/>
    <w:rsid w:val="00015497"/>
    <w:rPr>
      <w:rFonts w:ascii="Times New Roman" w:hAnsi="Times New Roman" w:cs="Times New Roman"/>
      <w:sz w:val="20"/>
      <w:szCs w:val="20"/>
      <w:lang w:eastAsia="ru-RU"/>
    </w:rPr>
  </w:style>
  <w:style w:type="character" w:styleId="ConsNormal" w:customStyle="1">
    <w:name w:val="ConsNormal Знак"/>
    <w:basedOn w:val="DefaultParagraphFont"/>
    <w:link w:val="ConsNormal"/>
    <w:qFormat/>
    <w:locked/>
    <w:rsid w:val="00015497"/>
    <w:rPr>
      <w:rFonts w:ascii="Arial" w:hAnsi="Arial" w:cs="Arial"/>
      <w:sz w:val="20"/>
      <w:szCs w:val="20"/>
      <w:lang w:eastAsia="ru-RU"/>
    </w:rPr>
  </w:style>
  <w:style w:type="character" w:styleId="Style15" w:customStyle="1">
    <w:name w:val="Без интервала Знак"/>
    <w:basedOn w:val="DefaultParagraphFont"/>
    <w:link w:val="a6"/>
    <w:uiPriority w:val="99"/>
    <w:qFormat/>
    <w:locked/>
    <w:rsid w:val="00015497"/>
    <w:rPr>
      <w:rFonts w:ascii="Calibri" w:hAnsi="Calibri" w:cs="Calibri"/>
      <w:lang w:val="en-US"/>
    </w:rPr>
  </w:style>
  <w:style w:type="character" w:styleId="4" w:customStyle="1">
    <w:name w:val="Основной текст (4) + Не курсив"/>
    <w:uiPriority w:val="99"/>
    <w:qFormat/>
    <w:rsid w:val="00015497"/>
    <w:rPr>
      <w:i/>
      <w:sz w:val="27"/>
      <w:shd w:fill="FFFFFF" w:val="clear"/>
    </w:rPr>
  </w:style>
  <w:style w:type="character" w:styleId="Annotationreference">
    <w:name w:val="annotation reference"/>
    <w:basedOn w:val="DefaultParagraphFont"/>
    <w:uiPriority w:val="99"/>
    <w:semiHidden/>
    <w:qFormat/>
    <w:rsid w:val="00117531"/>
    <w:rPr>
      <w:rFonts w:cs="Times New Roman"/>
      <w:sz w:val="16"/>
      <w:szCs w:val="16"/>
    </w:rPr>
  </w:style>
  <w:style w:type="character" w:styleId="Style16" w:customStyle="1">
    <w:name w:val="Текст примечания Знак"/>
    <w:basedOn w:val="DefaultParagraphFont"/>
    <w:link w:val="a9"/>
    <w:uiPriority w:val="99"/>
    <w:semiHidden/>
    <w:qFormat/>
    <w:locked/>
    <w:rsid w:val="00650133"/>
    <w:rPr>
      <w:rFonts w:ascii="Times New Roman" w:hAnsi="Times New Roman" w:cs="Times New Roman"/>
      <w:sz w:val="20"/>
      <w:szCs w:val="20"/>
    </w:rPr>
  </w:style>
  <w:style w:type="character" w:styleId="Style17" w:customStyle="1">
    <w:name w:val="Тема примечания Знак"/>
    <w:basedOn w:val="Style16"/>
    <w:link w:val="ab"/>
    <w:uiPriority w:val="99"/>
    <w:semiHidden/>
    <w:qFormat/>
    <w:locked/>
    <w:rsid w:val="00650133"/>
    <w:rPr>
      <w:rFonts w:ascii="Times New Roman" w:hAnsi="Times New Roman" w:cs="Times New Roman"/>
      <w:b/>
      <w:bCs/>
      <w:sz w:val="20"/>
      <w:szCs w:val="20"/>
    </w:rPr>
  </w:style>
  <w:style w:type="character" w:styleId="Style18" w:customStyle="1">
    <w:name w:val="Текст выноски Знак"/>
    <w:basedOn w:val="DefaultParagraphFont"/>
    <w:link w:val="ad"/>
    <w:uiPriority w:val="99"/>
    <w:semiHidden/>
    <w:qFormat/>
    <w:locked/>
    <w:rsid w:val="00650133"/>
    <w:rPr>
      <w:rFonts w:ascii="Times New Roman" w:hAnsi="Times New Roman" w:cs="Times New Roman"/>
      <w:sz w:val="2"/>
    </w:rPr>
  </w:style>
  <w:style w:type="character" w:styleId="Style19">
    <w:name w:val="Интернет-ссылка"/>
    <w:basedOn w:val="DefaultParagraphFont"/>
    <w:uiPriority w:val="99"/>
    <w:rsid w:val="00117531"/>
    <w:rPr>
      <w:rFonts w:cs="Times New Roman"/>
      <w:color w:val="0000FF"/>
      <w:u w:val="single"/>
    </w:rPr>
  </w:style>
  <w:style w:type="character" w:styleId="Style20" w:customStyle="1">
    <w:name w:val="Основной текст Знак"/>
    <w:basedOn w:val="DefaultParagraphFont"/>
    <w:link w:val="af0"/>
    <w:uiPriority w:val="99"/>
    <w:qFormat/>
    <w:rsid w:val="009e7b5c"/>
    <w:rPr>
      <w:rFonts w:ascii="Times New Roman" w:hAnsi="Times New Roman" w:eastAsia="Times New Roman"/>
      <w:sz w:val="24"/>
      <w:szCs w:val="24"/>
    </w:rPr>
  </w:style>
  <w:style w:type="character" w:styleId="Style21" w:customStyle="1">
    <w:name w:val="Основной текст_"/>
    <w:basedOn w:val="DefaultParagraphFont"/>
    <w:link w:val="1"/>
    <w:qFormat/>
    <w:rsid w:val="00270920"/>
    <w:rPr>
      <w:rFonts w:ascii="Times New Roman" w:hAnsi="Times New Roman" w:eastAsia="Times New Roman"/>
      <w:sz w:val="25"/>
      <w:szCs w:val="25"/>
      <w:shd w:fill="FFFFFF" w:val="clear"/>
    </w:rPr>
  </w:style>
  <w:style w:type="character" w:styleId="1" w:customStyle="1">
    <w:name w:val="Заголовок №1_"/>
    <w:basedOn w:val="DefaultParagraphFont"/>
    <w:link w:val="11"/>
    <w:qFormat/>
    <w:rsid w:val="00270920"/>
    <w:rPr>
      <w:rFonts w:ascii="Times New Roman" w:hAnsi="Times New Roman" w:eastAsia="Times New Roman"/>
      <w:sz w:val="25"/>
      <w:szCs w:val="25"/>
      <w:shd w:fill="FFFFFF" w:val="clear"/>
    </w:rPr>
  </w:style>
  <w:style w:type="character" w:styleId="Style22" w:customStyle="1">
    <w:name w:val="Основной текст + Курсив"/>
    <w:basedOn w:val="Style21"/>
    <w:qFormat/>
    <w:rsid w:val="00270920"/>
    <w:rPr>
      <w:rFonts w:ascii="Times New Roman" w:hAnsi="Times New Roman" w:eastAsia="Times New Roman"/>
      <w:i/>
      <w:iCs/>
      <w:sz w:val="25"/>
      <w:szCs w:val="25"/>
      <w:shd w:fill="FFFFFF" w:val="clear"/>
    </w:rPr>
  </w:style>
  <w:style w:type="paragraph" w:styleId="Style23">
    <w:name w:val="Заголовок"/>
    <w:basedOn w:val="Normal"/>
    <w:next w:val="Style24"/>
    <w:qFormat/>
    <w:pPr>
      <w:keepNext w:val="true"/>
      <w:spacing w:before="240" w:after="120"/>
    </w:pPr>
    <w:rPr>
      <w:rFonts w:ascii="Liberation Sans" w:hAnsi="Liberation Sans" w:eastAsia="Microsoft YaHei" w:cs="Mangal"/>
      <w:sz w:val="28"/>
      <w:szCs w:val="28"/>
    </w:rPr>
  </w:style>
  <w:style w:type="paragraph" w:styleId="Style24">
    <w:name w:val="Body Text"/>
    <w:basedOn w:val="Normal"/>
    <w:link w:val="af1"/>
    <w:uiPriority w:val="99"/>
    <w:rsid w:val="009e7b5c"/>
    <w:pPr>
      <w:widowControl/>
      <w:spacing w:before="0" w:after="120"/>
      <w:jc w:val="right"/>
    </w:pPr>
    <w:rPr>
      <w:sz w:val="24"/>
      <w:szCs w:val="24"/>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Style28">
    <w:name w:val="Верхний и нижний колонтитулы"/>
    <w:basedOn w:val="Normal"/>
    <w:qFormat/>
    <w:pPr/>
    <w:rPr/>
  </w:style>
  <w:style w:type="paragraph" w:styleId="Style29">
    <w:name w:val="Header"/>
    <w:basedOn w:val="Normal"/>
    <w:link w:val="a4"/>
    <w:uiPriority w:val="99"/>
    <w:rsid w:val="00015497"/>
    <w:pPr>
      <w:tabs>
        <w:tab w:val="clear" w:pos="709"/>
        <w:tab w:val="center" w:pos="4677" w:leader="none"/>
        <w:tab w:val="right" w:pos="9355" w:leader="none"/>
      </w:tabs>
    </w:pPr>
    <w:rPr/>
  </w:style>
  <w:style w:type="paragraph" w:styleId="ConsNormal1" w:customStyle="1">
    <w:name w:val="ConsNormal"/>
    <w:basedOn w:val="Normal"/>
    <w:link w:val="ConsNormal0"/>
    <w:qFormat/>
    <w:rsid w:val="00015497"/>
    <w:pPr>
      <w:widowControl/>
      <w:snapToGrid w:val="false"/>
      <w:ind w:firstLine="720"/>
    </w:pPr>
    <w:rPr>
      <w:rFonts w:ascii="Arial" w:hAnsi="Arial" w:eastAsia="Calibri" w:cs="Arial"/>
    </w:rPr>
  </w:style>
  <w:style w:type="paragraph" w:styleId="Style30" w:customStyle="1">
    <w:name w:val="áû÷íûé"/>
    <w:uiPriority w:val="99"/>
    <w:qFormat/>
    <w:rsid w:val="00015497"/>
    <w:pPr>
      <w:widowControl/>
      <w:kinsoku w:val="true"/>
      <w:overflowPunct w:val="false"/>
      <w:autoSpaceDE w:val="true"/>
      <w:bidi w:val="0"/>
      <w:jc w:val="right"/>
      <w:textAlignment w:val="baseline"/>
    </w:pPr>
    <w:rPr>
      <w:rFonts w:ascii="Times New Roman" w:hAnsi="Times New Roman" w:eastAsia="Times New Roman" w:cs="Times New Roman"/>
      <w:color w:val="auto"/>
      <w:kern w:val="0"/>
      <w:sz w:val="20"/>
      <w:szCs w:val="20"/>
      <w:lang w:val="ru-RU" w:eastAsia="ru-RU" w:bidi="ar-SA"/>
    </w:rPr>
  </w:style>
  <w:style w:type="paragraph" w:styleId="ConsNonformat" w:customStyle="1">
    <w:name w:val="ConsNonformat"/>
    <w:uiPriority w:val="99"/>
    <w:qFormat/>
    <w:rsid w:val="00015497"/>
    <w:pPr>
      <w:widowControl w:val="false"/>
      <w:kinsoku w:val="true"/>
      <w:overflowPunct w:val="true"/>
      <w:autoSpaceDE w:val="true"/>
      <w:bidi w:val="0"/>
      <w:jc w:val="right"/>
    </w:pPr>
    <w:rPr>
      <w:rFonts w:ascii="Courier New" w:hAnsi="Courier New" w:eastAsia="Times New Roman" w:cs="Courier New"/>
      <w:color w:val="auto"/>
      <w:kern w:val="0"/>
      <w:sz w:val="20"/>
      <w:szCs w:val="20"/>
      <w:lang w:val="ru-RU" w:eastAsia="ru-RU" w:bidi="ar-SA"/>
    </w:rPr>
  </w:style>
  <w:style w:type="paragraph" w:styleId="NoSpacing">
    <w:name w:val="No Spacing"/>
    <w:basedOn w:val="Normal"/>
    <w:link w:val="a7"/>
    <w:uiPriority w:val="99"/>
    <w:qFormat/>
    <w:rsid w:val="00015497"/>
    <w:pPr>
      <w:widowControl/>
    </w:pPr>
    <w:rPr>
      <w:rFonts w:ascii="Calibri" w:hAnsi="Calibri" w:cs="Calibri"/>
      <w:sz w:val="22"/>
      <w:szCs w:val="22"/>
      <w:lang w:val="en-US" w:eastAsia="en-US"/>
    </w:rPr>
  </w:style>
  <w:style w:type="paragraph" w:styleId="Standard" w:customStyle="1">
    <w:name w:val="Standard"/>
    <w:qFormat/>
    <w:rsid w:val="00015497"/>
    <w:pPr>
      <w:widowControl/>
      <w:suppressAutoHyphens w:val="true"/>
      <w:kinsoku w:val="true"/>
      <w:overflowPunct w:val="true"/>
      <w:autoSpaceDE w:val="true"/>
      <w:bidi w:val="0"/>
      <w:jc w:val="left"/>
      <w:textAlignment w:val="baseline"/>
    </w:pPr>
    <w:rPr>
      <w:rFonts w:ascii="Times New Roman" w:hAnsi="Times New Roman" w:eastAsia="Calibri" w:cs="Times New Roman"/>
      <w:color w:val="auto"/>
      <w:kern w:val="2"/>
      <w:sz w:val="24"/>
      <w:szCs w:val="24"/>
      <w:lang w:val="ru-RU" w:eastAsia="ru-RU" w:bidi="ar-SA"/>
    </w:rPr>
  </w:style>
  <w:style w:type="paragraph" w:styleId="Textbody" w:customStyle="1">
    <w:name w:val="Text body"/>
    <w:basedOn w:val="Standard"/>
    <w:uiPriority w:val="99"/>
    <w:qFormat/>
    <w:rsid w:val="00015497"/>
    <w:pPr>
      <w:spacing w:before="0" w:after="120"/>
    </w:pPr>
    <w:rPr/>
  </w:style>
  <w:style w:type="paragraph" w:styleId="ListBullet3">
    <w:name w:val="List Bullet 3"/>
    <w:basedOn w:val="Standard"/>
    <w:uiPriority w:val="99"/>
    <w:qFormat/>
    <w:rsid w:val="00015497"/>
    <w:pPr>
      <w:spacing w:before="0" w:after="120"/>
      <w:ind w:left="566" w:hanging="283"/>
    </w:pPr>
    <w:rPr>
      <w:sz w:val="20"/>
      <w:szCs w:val="20"/>
    </w:rPr>
  </w:style>
  <w:style w:type="paragraph" w:styleId="Textbodyindent" w:customStyle="1">
    <w:name w:val="Text body indent"/>
    <w:basedOn w:val="Standard"/>
    <w:uiPriority w:val="99"/>
    <w:qFormat/>
    <w:rsid w:val="00015497"/>
    <w:pPr>
      <w:spacing w:before="0" w:after="200"/>
      <w:ind w:left="283" w:firstLine="720"/>
    </w:pPr>
    <w:rPr>
      <w:rFonts w:ascii="Calibri" w:hAnsi="Calibri"/>
      <w:sz w:val="28"/>
      <w:szCs w:val="22"/>
    </w:rPr>
  </w:style>
  <w:style w:type="paragraph" w:styleId="ConsTitle" w:customStyle="1">
    <w:name w:val="ConsTitle"/>
    <w:uiPriority w:val="99"/>
    <w:qFormat/>
    <w:rsid w:val="00015497"/>
    <w:pPr>
      <w:widowControl w:val="false"/>
      <w:suppressAutoHyphens w:val="true"/>
      <w:kinsoku w:val="true"/>
      <w:overflowPunct w:val="true"/>
      <w:autoSpaceDE w:val="true"/>
      <w:bidi w:val="0"/>
      <w:jc w:val="left"/>
      <w:textAlignment w:val="baseline"/>
    </w:pPr>
    <w:rPr>
      <w:rFonts w:ascii="Arial" w:hAnsi="Arial" w:eastAsia="Calibri" w:cs="Times New Roman"/>
      <w:b/>
      <w:color w:val="auto"/>
      <w:kern w:val="2"/>
      <w:sz w:val="16"/>
      <w:szCs w:val="20"/>
      <w:lang w:val="ru-RU" w:eastAsia="ru-RU" w:bidi="ar-SA"/>
    </w:rPr>
  </w:style>
  <w:style w:type="paragraph" w:styleId="Annotationtext">
    <w:name w:val="annotation text"/>
    <w:basedOn w:val="Normal"/>
    <w:link w:val="aa"/>
    <w:uiPriority w:val="99"/>
    <w:semiHidden/>
    <w:qFormat/>
    <w:rsid w:val="00117531"/>
    <w:pPr/>
    <w:rPr/>
  </w:style>
  <w:style w:type="paragraph" w:styleId="Annotationsubject">
    <w:name w:val="annotation subject"/>
    <w:basedOn w:val="Annotationtext"/>
    <w:next w:val="Annotationtext"/>
    <w:link w:val="ac"/>
    <w:uiPriority w:val="99"/>
    <w:semiHidden/>
    <w:qFormat/>
    <w:rsid w:val="00117531"/>
    <w:pPr/>
    <w:rPr>
      <w:b/>
      <w:bCs/>
    </w:rPr>
  </w:style>
  <w:style w:type="paragraph" w:styleId="BalloonText">
    <w:name w:val="Balloon Text"/>
    <w:basedOn w:val="Normal"/>
    <w:link w:val="ae"/>
    <w:uiPriority w:val="99"/>
    <w:semiHidden/>
    <w:qFormat/>
    <w:rsid w:val="00117531"/>
    <w:pPr/>
    <w:rPr>
      <w:rFonts w:ascii="Tahoma" w:hAnsi="Tahoma" w:cs="Tahoma"/>
      <w:sz w:val="16"/>
      <w:szCs w:val="16"/>
    </w:rPr>
  </w:style>
  <w:style w:type="paragraph" w:styleId="11" w:customStyle="1">
    <w:name w:val="Основной текст1"/>
    <w:basedOn w:val="Normal"/>
    <w:link w:val="af2"/>
    <w:qFormat/>
    <w:rsid w:val="00270920"/>
    <w:pPr>
      <w:widowControl/>
      <w:shd w:val="clear" w:color="auto" w:fill="FFFFFF"/>
      <w:spacing w:lineRule="exact" w:line="346" w:before="0" w:after="300"/>
    </w:pPr>
    <w:rPr>
      <w:sz w:val="25"/>
      <w:szCs w:val="25"/>
    </w:rPr>
  </w:style>
  <w:style w:type="paragraph" w:styleId="12" w:customStyle="1">
    <w:name w:val="Заголовок №1"/>
    <w:basedOn w:val="Normal"/>
    <w:link w:val="10"/>
    <w:qFormat/>
    <w:rsid w:val="00270920"/>
    <w:pPr>
      <w:widowControl/>
      <w:shd w:val="clear" w:color="auto" w:fill="FFFFFF"/>
      <w:spacing w:lineRule="auto" w:line="240" w:before="300" w:after="480"/>
      <w:ind w:firstLine="3060"/>
      <w:outlineLvl w:val="0"/>
    </w:pPr>
    <w:rPr>
      <w:sz w:val="25"/>
      <w:szCs w:val="25"/>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LibreOffice/6.3.1.2$Windows_x86 LibreOffice_project/b79626edf0065ac373bd1df5c28bd630b4424273</Application>
  <Pages>9</Pages>
  <Words>3175</Words>
  <Characters>22478</Characters>
  <CharactersWithSpaces>25733</CharactersWithSpaces>
  <Paragraphs>166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2019-06-13T11:15:00Z</dcterms:created>
  <dc:creator>Беликова Марина Генадьевна</dc:creator>
  <dc:description/>
  <dc:language>ru-RU</dc:language>
  <cp:lastModifiedBy/>
  <dcterms:modified xsi:type="dcterms:W3CDTF">2019-09-27T15:34:29Z</dcterms:modified>
  <cp:revision>9</cp:revision>
  <dc:subject/>
  <dc:title>Договор № ____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